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E81" w:rsidRDefault="00564E81" w:rsidP="00564E81">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01"/>
        <w:gridCol w:w="3639"/>
      </w:tblGrid>
      <w:tr w:rsidR="00564E81" w:rsidTr="00564E81">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564E81" w:rsidRDefault="00564E81">
                <w:pPr>
                  <w:pStyle w:val="a5"/>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564E81" w:rsidTr="00564E81">
        <w:trPr>
          <w:trHeight w:val="337"/>
          <w:jc w:val="center"/>
        </w:trPr>
        <w:tc>
          <w:tcPr>
            <w:tcW w:w="5047" w:type="dxa"/>
          </w:tcPr>
          <w:p w:rsidR="00564E81" w:rsidRDefault="00564E81">
            <w:pPr>
              <w:rPr>
                <w:b/>
                <w:bCs/>
                <w:noProof w:val="0"/>
                <w:sz w:val="26"/>
                <w:szCs w:val="26"/>
                <w:rtl/>
              </w:rPr>
            </w:pPr>
          </w:p>
        </w:tc>
        <w:tc>
          <w:tcPr>
            <w:tcW w:w="3674" w:type="dxa"/>
          </w:tcPr>
          <w:p w:rsidR="00564E81" w:rsidRDefault="00564E81">
            <w:pPr>
              <w:pStyle w:val="a5"/>
              <w:jc w:val="right"/>
              <w:rPr>
                <w:b/>
                <w:bCs/>
                <w:noProof w:val="0"/>
                <w:sz w:val="26"/>
                <w:szCs w:val="26"/>
                <w:rtl/>
              </w:rPr>
            </w:pPr>
          </w:p>
        </w:tc>
      </w:tr>
      <w:tr w:rsidR="00564E81" w:rsidTr="00564E81">
        <w:trPr>
          <w:trHeight w:val="337"/>
          <w:jc w:val="center"/>
        </w:trPr>
        <w:tc>
          <w:tcPr>
            <w:tcW w:w="8721" w:type="dxa"/>
            <w:gridSpan w:val="2"/>
          </w:tcPr>
          <w:p w:rsidR="00564E81" w:rsidRDefault="00564E81" w:rsidP="00D53762">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 xml:space="preserve">35184-07-22 </w:t>
            </w:r>
            <w:bookmarkEnd w:id="0"/>
            <w:r>
              <w:rPr>
                <w:b/>
                <w:bCs/>
                <w:noProof w:val="0"/>
                <w:sz w:val="26"/>
                <w:szCs w:val="26"/>
                <w:rtl/>
              </w:rPr>
              <w:t>ב</w:t>
            </w:r>
            <w:r w:rsidR="00D53762">
              <w:rPr>
                <w:rFonts w:hint="cs"/>
                <w:b/>
                <w:bCs/>
                <w:noProof w:val="0"/>
                <w:sz w:val="26"/>
                <w:szCs w:val="26"/>
                <w:rtl/>
              </w:rPr>
              <w:t>.</w:t>
            </w:r>
            <w:r>
              <w:rPr>
                <w:b/>
                <w:bCs/>
                <w:noProof w:val="0"/>
                <w:sz w:val="26"/>
                <w:szCs w:val="26"/>
                <w:rtl/>
              </w:rPr>
              <w:t xml:space="preserve"> נ' ח</w:t>
            </w:r>
          </w:p>
          <w:p w:rsidR="00564E81" w:rsidRDefault="00564E81">
            <w:pPr>
              <w:rPr>
                <w:b/>
                <w:bCs/>
                <w:noProof w:val="0"/>
                <w:sz w:val="2"/>
                <w:szCs w:val="2"/>
                <w:rtl/>
              </w:rPr>
            </w:pPr>
          </w:p>
          <w:p w:rsidR="00564E81" w:rsidRDefault="00564E81">
            <w:pPr>
              <w:rPr>
                <w:sz w:val="20"/>
                <w:szCs w:val="20"/>
                <w:rtl/>
              </w:rPr>
            </w:pPr>
            <w:r>
              <w:rPr>
                <w:rtl/>
              </w:rPr>
              <w:t xml:space="preserve">                           </w:t>
            </w:r>
            <w:r>
              <w:rPr>
                <w:sz w:val="20"/>
                <w:szCs w:val="20"/>
                <w:rtl/>
              </w:rPr>
              <w:t xml:space="preserve">                                       </w:t>
            </w:r>
          </w:p>
          <w:p w:rsidR="00564E81" w:rsidRDefault="00564E81">
            <w:pPr>
              <w:rPr>
                <w:sz w:val="20"/>
                <w:szCs w:val="20"/>
                <w:rtl/>
              </w:rPr>
            </w:pPr>
          </w:p>
        </w:tc>
      </w:tr>
    </w:tbl>
    <w:p w:rsidR="00564E81" w:rsidRDefault="00564E81">
      <w:pPr>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64E81" w:rsidTr="00564E81">
        <w:trPr>
          <w:jc w:val="center"/>
        </w:trPr>
        <w:tc>
          <w:tcPr>
            <w:tcW w:w="743" w:type="dxa"/>
            <w:hideMark/>
          </w:tcPr>
          <w:p w:rsidR="00564E81" w:rsidRDefault="00564E81">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hideMark/>
          </w:tcPr>
          <w:p w:rsidR="00564E81" w:rsidRDefault="00564E81">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564E81" w:rsidTr="00564E81">
        <w:trPr>
          <w:jc w:val="center"/>
        </w:trPr>
        <w:tc>
          <w:tcPr>
            <w:tcW w:w="3249" w:type="dxa"/>
            <w:gridSpan w:val="2"/>
          </w:tcPr>
          <w:p w:rsidR="00564E81" w:rsidRDefault="00564E81">
            <w:pPr>
              <w:suppressLineNumbers/>
              <w:rPr>
                <w:rFonts w:ascii="Arial" w:hAnsi="Arial"/>
                <w:b/>
                <w:bCs/>
                <w:noProof w:val="0"/>
                <w:sz w:val="26"/>
                <w:szCs w:val="26"/>
              </w:rPr>
            </w:pPr>
          </w:p>
          <w:p w:rsidR="00564E81" w:rsidRDefault="00564E81">
            <w:pPr>
              <w:suppressLineNumbers/>
              <w:jc w:val="left"/>
              <w:rPr>
                <w:rFonts w:ascii="Arial" w:hAnsi="Arial"/>
                <w:b/>
                <w:bCs/>
                <w:noProof w:val="0"/>
                <w:sz w:val="26"/>
                <w:szCs w:val="26"/>
              </w:rPr>
            </w:pPr>
            <w:r>
              <w:rPr>
                <w:rFonts w:ascii="Arial" w:hAnsi="Arial"/>
                <w:b/>
                <w:bCs/>
                <w:noProof w:val="0"/>
                <w:sz w:val="26"/>
                <w:szCs w:val="26"/>
                <w:rtl/>
              </w:rPr>
              <w:t>תובעת</w:t>
            </w:r>
          </w:p>
          <w:p w:rsidR="00564E81" w:rsidRDefault="00564E81">
            <w:pPr>
              <w:suppressLineNumbers/>
              <w:jc w:val="left"/>
              <w:rPr>
                <w:rFonts w:ascii="Arial" w:hAnsi="Arial"/>
                <w:b/>
                <w:bCs/>
                <w:noProof w:val="0"/>
                <w:rtl/>
              </w:rPr>
            </w:pPr>
            <w:r>
              <w:rPr>
                <w:rFonts w:ascii="Arial" w:hAnsi="Arial"/>
                <w:b/>
                <w:bCs/>
                <w:noProof w:val="0"/>
                <w:rtl/>
              </w:rPr>
              <w:t>(מבקשת)</w:t>
            </w:r>
          </w:p>
        </w:tc>
        <w:tc>
          <w:tcPr>
            <w:tcW w:w="5571" w:type="dxa"/>
          </w:tcPr>
          <w:p w:rsidR="00564E81" w:rsidRDefault="00564E81">
            <w:pPr>
              <w:suppressLineNumbers/>
              <w:rPr>
                <w:rFonts w:ascii="Arial" w:hAnsi="Arial"/>
                <w:b/>
                <w:bCs/>
                <w:noProof w:val="0"/>
                <w:sz w:val="26"/>
                <w:szCs w:val="26"/>
                <w:rtl/>
              </w:rPr>
            </w:pPr>
          </w:p>
          <w:p w:rsidR="00564E81" w:rsidRDefault="00564E81" w:rsidP="00D53762">
            <w:pPr>
              <w:suppressLineNumbers/>
              <w:jc w:val="left"/>
              <w:rPr>
                <w:b/>
                <w:bCs/>
                <w:noProof w:val="0"/>
                <w:sz w:val="26"/>
                <w:szCs w:val="26"/>
                <w:rtl/>
              </w:rPr>
            </w:pPr>
            <w:r>
              <w:rPr>
                <w:rFonts w:ascii="Arial" w:hAnsi="Arial"/>
                <w:b/>
                <w:bCs/>
                <w:noProof w:val="0"/>
                <w:sz w:val="26"/>
                <w:szCs w:val="26"/>
                <w:rtl/>
              </w:rPr>
              <w:t>י</w:t>
            </w:r>
            <w:r w:rsidR="00D53762">
              <w:rPr>
                <w:rFonts w:ascii="Arial" w:hAnsi="Arial" w:hint="cs"/>
                <w:b/>
                <w:bCs/>
                <w:noProof w:val="0"/>
                <w:sz w:val="26"/>
                <w:szCs w:val="26"/>
                <w:rtl/>
              </w:rPr>
              <w:t>.</w:t>
            </w:r>
            <w:r>
              <w:rPr>
                <w:rFonts w:ascii="Arial" w:hAnsi="Arial"/>
                <w:b/>
                <w:bCs/>
                <w:noProof w:val="0"/>
                <w:sz w:val="26"/>
                <w:szCs w:val="26"/>
                <w:rtl/>
              </w:rPr>
              <w:t xml:space="preserve"> ב</w:t>
            </w:r>
          </w:p>
          <w:p w:rsidR="00564E81" w:rsidRDefault="00564E81">
            <w:pPr>
              <w:suppressLineNumbers/>
              <w:jc w:val="left"/>
              <w:rPr>
                <w:noProof w:val="0"/>
                <w:rtl/>
              </w:rPr>
            </w:pPr>
            <w:r>
              <w:rPr>
                <w:noProof w:val="0"/>
                <w:rtl/>
              </w:rPr>
              <w:t>מיוצגת ע"י עו"ד ליאורה בירן</w:t>
            </w:r>
          </w:p>
        </w:tc>
      </w:tr>
      <w:tr w:rsidR="00564E81" w:rsidTr="00564E81">
        <w:trPr>
          <w:jc w:val="center"/>
        </w:trPr>
        <w:tc>
          <w:tcPr>
            <w:tcW w:w="8820" w:type="dxa"/>
            <w:gridSpan w:val="3"/>
          </w:tcPr>
          <w:p w:rsidR="00564E81" w:rsidRDefault="00564E81">
            <w:pPr>
              <w:suppressLineNumbers/>
              <w:rPr>
                <w:rFonts w:ascii="Arial" w:hAnsi="Arial"/>
                <w:b/>
                <w:bCs/>
                <w:noProof w:val="0"/>
                <w:sz w:val="26"/>
                <w:szCs w:val="26"/>
              </w:rPr>
            </w:pPr>
          </w:p>
          <w:p w:rsidR="00564E81" w:rsidRDefault="00564E81">
            <w:pPr>
              <w:suppressLineNumbers/>
              <w:jc w:val="center"/>
              <w:rPr>
                <w:rFonts w:ascii="Arial" w:hAnsi="Arial"/>
                <w:b/>
                <w:bCs/>
                <w:noProof w:val="0"/>
                <w:sz w:val="26"/>
                <w:szCs w:val="26"/>
                <w:rtl/>
              </w:rPr>
            </w:pPr>
            <w:r>
              <w:rPr>
                <w:rFonts w:ascii="Arial" w:hAnsi="Arial"/>
                <w:b/>
                <w:bCs/>
                <w:noProof w:val="0"/>
                <w:sz w:val="26"/>
                <w:szCs w:val="26"/>
                <w:rtl/>
              </w:rPr>
              <w:t>נגד</w:t>
            </w:r>
          </w:p>
        </w:tc>
      </w:tr>
      <w:tr w:rsidR="00564E81" w:rsidTr="00564E81">
        <w:trPr>
          <w:jc w:val="center"/>
        </w:trPr>
        <w:tc>
          <w:tcPr>
            <w:tcW w:w="3249" w:type="dxa"/>
            <w:gridSpan w:val="2"/>
          </w:tcPr>
          <w:p w:rsidR="00564E81" w:rsidRDefault="00564E81">
            <w:pPr>
              <w:suppressLineNumbers/>
              <w:rPr>
                <w:rFonts w:ascii="Arial" w:hAnsi="Arial"/>
                <w:b/>
                <w:bCs/>
                <w:noProof w:val="0"/>
                <w:sz w:val="26"/>
                <w:szCs w:val="26"/>
              </w:rPr>
            </w:pPr>
          </w:p>
          <w:p w:rsidR="00564E81" w:rsidRDefault="00564E81">
            <w:pPr>
              <w:suppressLineNumbers/>
              <w:jc w:val="left"/>
              <w:rPr>
                <w:rFonts w:ascii="Arial" w:hAnsi="Arial"/>
                <w:b/>
                <w:bCs/>
                <w:noProof w:val="0"/>
                <w:sz w:val="26"/>
                <w:szCs w:val="26"/>
                <w:rtl/>
              </w:rPr>
            </w:pPr>
            <w:r>
              <w:rPr>
                <w:rFonts w:ascii="Arial" w:hAnsi="Arial"/>
                <w:b/>
                <w:bCs/>
                <w:noProof w:val="0"/>
                <w:sz w:val="26"/>
                <w:szCs w:val="26"/>
                <w:rtl/>
              </w:rPr>
              <w:t>נתבע</w:t>
            </w:r>
          </w:p>
          <w:p w:rsidR="00564E81" w:rsidRDefault="00564E81">
            <w:pPr>
              <w:suppressLineNumbers/>
              <w:jc w:val="left"/>
              <w:rPr>
                <w:rFonts w:ascii="Arial" w:hAnsi="Arial"/>
                <w:b/>
                <w:bCs/>
                <w:noProof w:val="0"/>
                <w:rtl/>
              </w:rPr>
            </w:pPr>
            <w:r>
              <w:rPr>
                <w:rFonts w:ascii="Arial" w:hAnsi="Arial"/>
                <w:b/>
                <w:bCs/>
                <w:noProof w:val="0"/>
                <w:rtl/>
              </w:rPr>
              <w:t>(משיב)</w:t>
            </w:r>
          </w:p>
        </w:tc>
        <w:tc>
          <w:tcPr>
            <w:tcW w:w="5571" w:type="dxa"/>
          </w:tcPr>
          <w:p w:rsidR="00564E81" w:rsidRDefault="00564E81">
            <w:pPr>
              <w:suppressLineNumbers/>
              <w:rPr>
                <w:rFonts w:ascii="Arial" w:hAnsi="Arial"/>
                <w:b/>
                <w:bCs/>
                <w:noProof w:val="0"/>
                <w:sz w:val="26"/>
                <w:szCs w:val="26"/>
              </w:rPr>
            </w:pPr>
          </w:p>
          <w:p w:rsidR="00564E81" w:rsidRDefault="00564E81" w:rsidP="00D53762">
            <w:pPr>
              <w:suppressLineNumbers/>
              <w:jc w:val="left"/>
              <w:rPr>
                <w:b/>
                <w:bCs/>
                <w:noProof w:val="0"/>
                <w:sz w:val="26"/>
                <w:szCs w:val="26"/>
                <w:rtl/>
              </w:rPr>
            </w:pPr>
            <w:r>
              <w:rPr>
                <w:rFonts w:ascii="Arial" w:hAnsi="Arial"/>
                <w:b/>
                <w:bCs/>
                <w:noProof w:val="0"/>
                <w:sz w:val="26"/>
                <w:szCs w:val="26"/>
                <w:rtl/>
              </w:rPr>
              <w:t>ד</w:t>
            </w:r>
            <w:r w:rsidR="00D53762">
              <w:rPr>
                <w:rFonts w:ascii="Arial" w:hAnsi="Arial" w:hint="cs"/>
                <w:b/>
                <w:bCs/>
                <w:noProof w:val="0"/>
                <w:sz w:val="26"/>
                <w:szCs w:val="26"/>
                <w:rtl/>
              </w:rPr>
              <w:t>.</w:t>
            </w:r>
            <w:r>
              <w:rPr>
                <w:rFonts w:ascii="Arial" w:hAnsi="Arial"/>
                <w:b/>
                <w:bCs/>
                <w:noProof w:val="0"/>
                <w:sz w:val="26"/>
                <w:szCs w:val="26"/>
                <w:rtl/>
              </w:rPr>
              <w:t xml:space="preserve"> ח</w:t>
            </w:r>
            <w:r w:rsidR="00D53762">
              <w:rPr>
                <w:rFonts w:ascii="Arial" w:hAnsi="Arial" w:hint="cs"/>
                <w:b/>
                <w:bCs/>
                <w:noProof w:val="0"/>
                <w:sz w:val="26"/>
                <w:szCs w:val="26"/>
                <w:rtl/>
              </w:rPr>
              <w:t>.</w:t>
            </w:r>
          </w:p>
          <w:p w:rsidR="00564E81" w:rsidRDefault="00564E81">
            <w:pPr>
              <w:suppressLineNumbers/>
              <w:jc w:val="left"/>
              <w:rPr>
                <w:noProof w:val="0"/>
                <w:rtl/>
              </w:rPr>
            </w:pPr>
            <w:r>
              <w:rPr>
                <w:noProof w:val="0"/>
                <w:rtl/>
              </w:rPr>
              <w:t>מיוצג ע"י עו"ד שי גור</w:t>
            </w:r>
          </w:p>
        </w:tc>
      </w:tr>
      <w:tr w:rsidR="00564E81" w:rsidTr="00564E81">
        <w:trPr>
          <w:jc w:val="center"/>
        </w:trPr>
        <w:tc>
          <w:tcPr>
            <w:tcW w:w="8820" w:type="dxa"/>
            <w:gridSpan w:val="3"/>
          </w:tcPr>
          <w:p w:rsidR="00564E81" w:rsidRDefault="00564E81">
            <w:pPr>
              <w:suppressLineNumbers/>
              <w:rPr>
                <w:rFonts w:ascii="Arial" w:hAnsi="Arial"/>
                <w:b/>
                <w:bCs/>
                <w:noProof w:val="0"/>
                <w:sz w:val="26"/>
                <w:szCs w:val="26"/>
                <w:rtl/>
              </w:rPr>
            </w:pPr>
          </w:p>
        </w:tc>
      </w:tr>
    </w:tbl>
    <w:p w:rsidR="00564E81" w:rsidRDefault="00564E81" w:rsidP="00564E81">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64E81" w:rsidTr="00564E81">
        <w:trPr>
          <w:jc w:val="center"/>
        </w:trPr>
        <w:tc>
          <w:tcPr>
            <w:tcW w:w="8820" w:type="dxa"/>
          </w:tcPr>
          <w:p w:rsidR="00564E81" w:rsidRDefault="00564E81">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564E81" w:rsidRDefault="00564E81">
            <w:pPr>
              <w:bidi w:val="0"/>
              <w:jc w:val="center"/>
              <w:rPr>
                <w:rFonts w:ascii="Arial" w:hAnsi="Arial"/>
                <w:b/>
                <w:bCs/>
                <w:noProof w:val="0"/>
                <w:sz w:val="28"/>
                <w:szCs w:val="28"/>
                <w:u w:val="single"/>
              </w:rPr>
            </w:pPr>
            <w:r>
              <w:rPr>
                <w:rFonts w:ascii="Arial" w:hAnsi="Arial"/>
                <w:b/>
                <w:bCs/>
                <w:noProof w:val="0"/>
                <w:sz w:val="28"/>
                <w:szCs w:val="28"/>
                <w:u w:val="single"/>
                <w:rtl/>
              </w:rPr>
              <w:t>ב</w:t>
            </w:r>
            <w:r>
              <w:rPr>
                <w:rFonts w:ascii="Arial" w:hAnsi="Arial"/>
                <w:b/>
                <w:bCs/>
                <w:noProof w:val="0"/>
                <w:u w:val="single"/>
                <w:rtl/>
              </w:rPr>
              <w:t>בקשה להוספת ראיות</w:t>
            </w:r>
          </w:p>
          <w:p w:rsidR="00564E81" w:rsidRDefault="00564E81">
            <w:pPr>
              <w:bidi w:val="0"/>
              <w:jc w:val="center"/>
              <w:rPr>
                <w:rFonts w:ascii="Arial" w:hAnsi="Arial"/>
                <w:b/>
                <w:bCs/>
                <w:noProof w:val="0"/>
                <w:sz w:val="28"/>
                <w:szCs w:val="28"/>
                <w:u w:val="single"/>
                <w:rtl/>
              </w:rPr>
            </w:pPr>
          </w:p>
        </w:tc>
      </w:tr>
    </w:tbl>
    <w:p w:rsidR="00564E81" w:rsidRDefault="00564E81" w:rsidP="00564E81">
      <w:pPr>
        <w:spacing w:line="360" w:lineRule="auto"/>
        <w:ind w:left="720" w:hanging="720"/>
        <w:jc w:val="both"/>
        <w:rPr>
          <w:rFonts w:ascii="David" w:hAnsi="David"/>
        </w:rPr>
      </w:pPr>
      <w:bookmarkStart w:id="1" w:name="NGCSBookmark"/>
      <w:bookmarkEnd w:id="1"/>
      <w:r>
        <w:rPr>
          <w:rFonts w:ascii="David" w:hAnsi="David"/>
          <w:rtl/>
        </w:rPr>
        <w:t>1.</w:t>
      </w:r>
      <w:r>
        <w:rPr>
          <w:rFonts w:ascii="David" w:hAnsi="David"/>
          <w:rtl/>
        </w:rPr>
        <w:tab/>
        <w:t>לפניי בקשה מיום 1.8.2023 שכותרתה "</w:t>
      </w:r>
      <w:r>
        <w:rPr>
          <w:rFonts w:ascii="David" w:hAnsi="David"/>
          <w:u w:val="single"/>
          <w:rtl/>
        </w:rPr>
        <w:t>בקשה לצרף ראייה מהותית שנתגלתה לאחרונה וזימון עד מטעם התובעת</w:t>
      </w:r>
      <w:r>
        <w:rPr>
          <w:rFonts w:ascii="David" w:hAnsi="David"/>
          <w:rtl/>
        </w:rPr>
        <w:t>" (להלן-</w:t>
      </w:r>
      <w:r>
        <w:rPr>
          <w:rFonts w:ascii="Miriam" w:hAnsi="Miriam" w:cs="Miriam"/>
          <w:b/>
          <w:bCs/>
          <w:rtl/>
        </w:rPr>
        <w:t>הבקשה</w:t>
      </w:r>
      <w:r>
        <w:rPr>
          <w:rFonts w:ascii="David" w:hAnsi="David"/>
          <w:rtl/>
        </w:rPr>
        <w:t>).</w:t>
      </w:r>
    </w:p>
    <w:p w:rsidR="00564E81" w:rsidRDefault="00564E81" w:rsidP="00564E81">
      <w:pPr>
        <w:ind w:left="720" w:hanging="720"/>
        <w:rPr>
          <w:rtl/>
        </w:rPr>
      </w:pPr>
    </w:p>
    <w:p w:rsidR="00564E81" w:rsidRDefault="00564E81" w:rsidP="00564E81">
      <w:pPr>
        <w:spacing w:line="360" w:lineRule="auto"/>
        <w:ind w:left="720" w:hanging="720"/>
        <w:jc w:val="both"/>
        <w:rPr>
          <w:rFonts w:ascii="David" w:hAnsi="David"/>
          <w:rtl/>
        </w:rPr>
      </w:pPr>
      <w:r>
        <w:rPr>
          <w:rFonts w:ascii="David" w:hAnsi="David"/>
          <w:rtl/>
        </w:rPr>
        <w:t>2.</w:t>
      </w:r>
      <w:r>
        <w:rPr>
          <w:rFonts w:ascii="David" w:hAnsi="David"/>
          <w:rtl/>
        </w:rPr>
        <w:tab/>
        <w:t>בהחלטה עוקבת לדיון לשמיעת ראיות שהתקיים ביום 29.5.2023 נקבע "</w:t>
      </w:r>
      <w:r>
        <w:rPr>
          <w:rFonts w:ascii="David" w:hAnsi="David"/>
          <w:b/>
          <w:bCs/>
          <w:rtl/>
        </w:rPr>
        <w:t>הגם שלא נכתב בפרוטוקול "אלו עדיי", התובעת סיימה את עדותה.</w:t>
      </w:r>
      <w:r>
        <w:rPr>
          <w:rFonts w:ascii="David" w:hAnsi="David"/>
          <w:rtl/>
        </w:rPr>
        <w:t xml:space="preserve">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b/>
          <w:bCs/>
          <w:rtl/>
        </w:rPr>
        <w:t>בשל אילוצי בית המשפט הדיון הופסק ומועד חקירת הנתבע באורך 30 דקות נקבע ליום 08.06.23 בשעה 11:30 עד 12:00</w:t>
      </w:r>
      <w:r>
        <w:rPr>
          <w:rFonts w:ascii="David" w:hAnsi="David"/>
          <w:rtl/>
        </w:rPr>
        <w:t>."</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14" w:hanging="714"/>
        <w:jc w:val="both"/>
        <w:rPr>
          <w:rFonts w:ascii="David" w:hAnsi="David"/>
        </w:rPr>
      </w:pPr>
      <w:r>
        <w:rPr>
          <w:rFonts w:ascii="David" w:hAnsi="David"/>
          <w:rtl/>
        </w:rPr>
        <w:t>3.</w:t>
      </w:r>
      <w:r>
        <w:rPr>
          <w:rFonts w:ascii="David" w:hAnsi="David"/>
          <w:rtl/>
        </w:rPr>
        <w:tab/>
        <w:t>לבקשה צירפה התובעת תצהיר מיום 30.7.2023 של עו"ד אליהו מזור (בהתאמה-</w:t>
      </w:r>
      <w:r>
        <w:rPr>
          <w:rFonts w:ascii="David" w:hAnsi="David"/>
          <w:b/>
          <w:bCs/>
          <w:rtl/>
        </w:rPr>
        <w:t>עו"ד מזור</w:t>
      </w:r>
      <w:r>
        <w:rPr>
          <w:rFonts w:ascii="David" w:hAnsi="David"/>
          <w:rtl/>
        </w:rPr>
        <w:t xml:space="preserve">, </w:t>
      </w:r>
      <w:r>
        <w:rPr>
          <w:rFonts w:ascii="David" w:hAnsi="David"/>
          <w:b/>
          <w:bCs/>
          <w:rtl/>
        </w:rPr>
        <w:t>התצהיר הראשון</w:t>
      </w:r>
      <w:r>
        <w:rPr>
          <w:rFonts w:ascii="David" w:hAnsi="David"/>
          <w:rtl/>
        </w:rPr>
        <w:t xml:space="preserve">) בו אישר, את דבר התייעצותה של התובעת עמו בקשר עם סוגיות העולות, עתה, במסגרת הליך זה. וזה נוסח התצהיר הראשון: </w:t>
      </w:r>
    </w:p>
    <w:p w:rsidR="00564E81" w:rsidRDefault="00564E81" w:rsidP="00564E81">
      <w:pPr>
        <w:spacing w:line="360" w:lineRule="auto"/>
        <w:ind w:left="714" w:hanging="714"/>
        <w:jc w:val="both"/>
        <w:rPr>
          <w:rFonts w:ascii="David" w:hAnsi="David"/>
          <w:rtl/>
        </w:rPr>
      </w:pPr>
    </w:p>
    <w:p w:rsidR="00564E81" w:rsidRDefault="00564E81" w:rsidP="00D53762">
      <w:pPr>
        <w:spacing w:line="360" w:lineRule="auto"/>
        <w:ind w:left="714"/>
        <w:jc w:val="both"/>
        <w:rPr>
          <w:rFonts w:ascii="David" w:hAnsi="David"/>
          <w:b/>
          <w:bCs/>
          <w:rtl/>
        </w:rPr>
      </w:pPr>
      <w:r>
        <w:rPr>
          <w:rFonts w:ascii="David" w:hAnsi="David"/>
          <w:rtl/>
        </w:rPr>
        <w:t>"</w:t>
      </w:r>
      <w:r>
        <w:rPr>
          <w:rFonts w:ascii="David" w:hAnsi="David"/>
          <w:b/>
          <w:bCs/>
          <w:rtl/>
        </w:rPr>
        <w:t>1</w:t>
      </w:r>
      <w:r>
        <w:rPr>
          <w:rFonts w:ascii="David" w:hAnsi="David"/>
          <w:rtl/>
        </w:rPr>
        <w:t xml:space="preserve">. </w:t>
      </w:r>
      <w:r>
        <w:rPr>
          <w:rFonts w:ascii="David" w:hAnsi="David"/>
          <w:b/>
          <w:bCs/>
          <w:rtl/>
        </w:rPr>
        <w:t>בתחילת שנת 2018 פנתה אלי הגב' י</w:t>
      </w:r>
      <w:r w:rsidR="00D53762">
        <w:rPr>
          <w:rFonts w:ascii="David" w:hAnsi="David" w:hint="cs"/>
          <w:b/>
          <w:bCs/>
          <w:rtl/>
        </w:rPr>
        <w:t>.</w:t>
      </w:r>
      <w:r>
        <w:rPr>
          <w:rFonts w:ascii="David" w:hAnsi="David"/>
          <w:b/>
          <w:bCs/>
          <w:rtl/>
        </w:rPr>
        <w:t xml:space="preserve"> ב</w:t>
      </w:r>
      <w:r w:rsidR="00D53762">
        <w:rPr>
          <w:rFonts w:ascii="David" w:hAnsi="David" w:hint="cs"/>
          <w:b/>
          <w:bCs/>
          <w:rtl/>
        </w:rPr>
        <w:t>.</w:t>
      </w:r>
      <w:r>
        <w:rPr>
          <w:rFonts w:ascii="David" w:hAnsi="David"/>
          <w:b/>
          <w:bCs/>
          <w:rtl/>
        </w:rPr>
        <w:t xml:space="preserve"> בבקשה לבדוק בעבורה טיוטת הסכם פירוד שבינה לבין מר ד</w:t>
      </w:r>
      <w:r w:rsidR="00D53762">
        <w:rPr>
          <w:rFonts w:ascii="David" w:hAnsi="David" w:hint="cs"/>
          <w:b/>
          <w:bCs/>
          <w:rtl/>
        </w:rPr>
        <w:t>.</w:t>
      </w:r>
      <w:r>
        <w:rPr>
          <w:rFonts w:ascii="David" w:hAnsi="David"/>
          <w:b/>
          <w:bCs/>
          <w:rtl/>
        </w:rPr>
        <w:t xml:space="preserve"> ח</w:t>
      </w:r>
      <w:r w:rsidR="00D53762">
        <w:rPr>
          <w:rFonts w:ascii="David" w:hAnsi="David" w:hint="cs"/>
          <w:b/>
          <w:bCs/>
          <w:rtl/>
        </w:rPr>
        <w:t>.</w:t>
      </w:r>
      <w:r>
        <w:rPr>
          <w:rFonts w:ascii="David" w:hAnsi="David"/>
          <w:b/>
          <w:bCs/>
          <w:rtl/>
        </w:rPr>
        <w:t>, ולאחר מספר חודשים, משהסכם זה לא נחתם-ביקשה שאבדוק את נוסח טיוטת הסכם הממון שביניהם [מחודש מאי 2018].</w:t>
      </w:r>
    </w:p>
    <w:p w:rsidR="00564E81" w:rsidRDefault="00564E81" w:rsidP="00D53762">
      <w:pPr>
        <w:spacing w:line="360" w:lineRule="auto"/>
        <w:ind w:left="714"/>
        <w:jc w:val="both"/>
        <w:rPr>
          <w:rFonts w:ascii="David" w:hAnsi="David"/>
          <w:rtl/>
        </w:rPr>
      </w:pPr>
      <w:r>
        <w:rPr>
          <w:rFonts w:ascii="David" w:hAnsi="David"/>
          <w:b/>
          <w:bCs/>
          <w:rtl/>
        </w:rPr>
        <w:t>2. בעבור יעוץ משפטי זה, גב' ב</w:t>
      </w:r>
      <w:r w:rsidR="00D53762">
        <w:rPr>
          <w:rFonts w:ascii="David" w:hAnsi="David" w:hint="cs"/>
          <w:b/>
          <w:bCs/>
          <w:rtl/>
        </w:rPr>
        <w:t>.</w:t>
      </w:r>
      <w:r>
        <w:rPr>
          <w:rFonts w:ascii="David" w:hAnsi="David"/>
          <w:b/>
          <w:bCs/>
          <w:rtl/>
        </w:rPr>
        <w:t xml:space="preserve"> שילמה לי בזמנו את הסך של 1,755 ₪ [מצ"ב צילום חשבונית מס/קבלה 03080 מיום 3.7.18 כחלק בלתי נפרד מתצהירי זה].</w:t>
      </w:r>
      <w:r>
        <w:rPr>
          <w:rFonts w:ascii="David" w:hAnsi="David"/>
          <w:rtl/>
        </w:rPr>
        <w:t>".</w:t>
      </w:r>
    </w:p>
    <w:p w:rsidR="00564E81" w:rsidRDefault="00564E81" w:rsidP="00564E81">
      <w:pPr>
        <w:spacing w:line="360" w:lineRule="auto"/>
        <w:ind w:left="714"/>
        <w:jc w:val="both"/>
        <w:rPr>
          <w:rFonts w:ascii="David" w:hAnsi="David"/>
          <w:rtl/>
        </w:rPr>
      </w:pPr>
    </w:p>
    <w:p w:rsidR="00564E81" w:rsidRDefault="00564E81" w:rsidP="00564E81">
      <w:pPr>
        <w:spacing w:line="360" w:lineRule="auto"/>
        <w:ind w:left="714" w:hanging="714"/>
        <w:jc w:val="both"/>
        <w:rPr>
          <w:rFonts w:ascii="David" w:hAnsi="David"/>
          <w:rtl/>
        </w:rPr>
      </w:pPr>
      <w:r>
        <w:rPr>
          <w:rFonts w:ascii="David" w:hAnsi="David"/>
          <w:rtl/>
        </w:rPr>
        <w:lastRenderedPageBreak/>
        <w:t>4.</w:t>
      </w:r>
      <w:r>
        <w:rPr>
          <w:rFonts w:ascii="David" w:hAnsi="David"/>
          <w:rtl/>
        </w:rPr>
        <w:tab/>
        <w:t>ביום 29.11.23 הגישה התובעת בקשה נוספת שהוכתרה בכותרת "</w:t>
      </w:r>
      <w:r>
        <w:rPr>
          <w:rFonts w:ascii="David" w:hAnsi="David"/>
          <w:u w:val="single"/>
          <w:rtl/>
        </w:rPr>
        <w:t>בקשה חוזרת לצרף ראיות מהותית שנתגלו לאחרונה</w:t>
      </w:r>
      <w:r>
        <w:rPr>
          <w:rFonts w:ascii="David" w:hAnsi="David"/>
          <w:rtl/>
        </w:rPr>
        <w:t>" אליה צירפה תצהיר נוסף של עו"ד מזור (להלן-</w:t>
      </w:r>
      <w:r>
        <w:rPr>
          <w:rFonts w:ascii="Miriam" w:hAnsi="Miriam" w:cs="Miriam"/>
          <w:b/>
          <w:bCs/>
          <w:rtl/>
        </w:rPr>
        <w:t>התצהיר השני</w:t>
      </w:r>
      <w:r>
        <w:rPr>
          <w:rFonts w:ascii="David" w:hAnsi="David"/>
          <w:rtl/>
        </w:rPr>
        <w:t>) בו הצהיר כדלקמן:</w:t>
      </w:r>
    </w:p>
    <w:p w:rsidR="00564E81" w:rsidRDefault="00564E81" w:rsidP="00D53762">
      <w:pPr>
        <w:spacing w:line="360" w:lineRule="auto"/>
        <w:ind w:left="1434" w:hanging="720"/>
        <w:jc w:val="both"/>
        <w:rPr>
          <w:rFonts w:ascii="David" w:hAnsi="David"/>
          <w:b/>
          <w:bCs/>
          <w:rtl/>
        </w:rPr>
      </w:pPr>
      <w:r>
        <w:rPr>
          <w:rFonts w:ascii="David" w:hAnsi="David"/>
          <w:rtl/>
        </w:rPr>
        <w:t>"</w:t>
      </w:r>
      <w:r>
        <w:rPr>
          <w:rFonts w:ascii="David" w:hAnsi="David"/>
          <w:b/>
          <w:bCs/>
          <w:rtl/>
        </w:rPr>
        <w:t xml:space="preserve">1. </w:t>
      </w:r>
      <w:r>
        <w:rPr>
          <w:rFonts w:ascii="David" w:hAnsi="David"/>
          <w:b/>
          <w:bCs/>
          <w:rtl/>
        </w:rPr>
        <w:tab/>
        <w:t>את תצהירי אני נותן כתצהיר משלים לתצהיר מיום 30.7.23 בעניינה של גב' י</w:t>
      </w:r>
      <w:r w:rsidR="00D53762">
        <w:rPr>
          <w:rFonts w:ascii="David" w:hAnsi="David" w:hint="cs"/>
          <w:b/>
          <w:bCs/>
          <w:rtl/>
        </w:rPr>
        <w:t>.ב</w:t>
      </w:r>
      <w:r>
        <w:rPr>
          <w:rFonts w:ascii="David" w:hAnsi="David"/>
          <w:b/>
          <w:bCs/>
          <w:rtl/>
        </w:rPr>
        <w:t>.</w:t>
      </w:r>
    </w:p>
    <w:p w:rsidR="00564E81" w:rsidRDefault="00564E81" w:rsidP="00564E81">
      <w:pPr>
        <w:spacing w:line="360" w:lineRule="auto"/>
        <w:ind w:firstLine="714"/>
        <w:jc w:val="both"/>
        <w:rPr>
          <w:rFonts w:ascii="David" w:hAnsi="David"/>
          <w:b/>
          <w:bCs/>
          <w:rtl/>
        </w:rPr>
      </w:pPr>
      <w:r>
        <w:rPr>
          <w:rFonts w:ascii="David" w:hAnsi="David"/>
          <w:b/>
          <w:bCs/>
          <w:rtl/>
        </w:rPr>
        <w:t xml:space="preserve">2. </w:t>
      </w:r>
      <w:r>
        <w:rPr>
          <w:rFonts w:ascii="David" w:hAnsi="David"/>
          <w:b/>
          <w:bCs/>
          <w:rtl/>
        </w:rPr>
        <w:tab/>
        <w:t>בתקופה זו, אני נמצא בשלב של סגירת משרדי עקב יציאתי לגמלאות.</w:t>
      </w:r>
    </w:p>
    <w:p w:rsidR="00564E81" w:rsidRDefault="00564E81" w:rsidP="00D53762">
      <w:pPr>
        <w:spacing w:line="360" w:lineRule="auto"/>
        <w:ind w:left="1440" w:hanging="720"/>
        <w:jc w:val="both"/>
        <w:rPr>
          <w:rFonts w:ascii="David" w:hAnsi="David"/>
          <w:b/>
          <w:bCs/>
          <w:rtl/>
        </w:rPr>
      </w:pPr>
      <w:r>
        <w:rPr>
          <w:rFonts w:ascii="David" w:hAnsi="David"/>
          <w:b/>
          <w:bCs/>
          <w:rtl/>
        </w:rPr>
        <w:t xml:space="preserve">3. </w:t>
      </w:r>
      <w:r>
        <w:rPr>
          <w:rFonts w:ascii="David" w:hAnsi="David"/>
          <w:b/>
          <w:bCs/>
          <w:rtl/>
        </w:rPr>
        <w:tab/>
        <w:t>תוך כדי מיון התיקים והמסמכים השונים (לגניזה או לגריסה) מצאתי את המסמכים המפורטים להלן והקשורים לתצהירי הקודם בעניינה של הגב' י</w:t>
      </w:r>
      <w:r w:rsidR="00D53762">
        <w:rPr>
          <w:rFonts w:ascii="David" w:hAnsi="David" w:hint="cs"/>
          <w:b/>
          <w:bCs/>
          <w:rtl/>
        </w:rPr>
        <w:t>.</w:t>
      </w:r>
      <w:r>
        <w:rPr>
          <w:rFonts w:ascii="David" w:hAnsi="David"/>
          <w:b/>
          <w:bCs/>
          <w:rtl/>
        </w:rPr>
        <w:t xml:space="preserve"> ב</w:t>
      </w:r>
      <w:r w:rsidR="00D53762">
        <w:rPr>
          <w:rFonts w:ascii="David" w:hAnsi="David" w:hint="cs"/>
          <w:b/>
          <w:bCs/>
          <w:rtl/>
        </w:rPr>
        <w:t>.</w:t>
      </w:r>
      <w:r>
        <w:rPr>
          <w:rFonts w:ascii="David" w:hAnsi="David"/>
          <w:b/>
          <w:bCs/>
          <w:rtl/>
        </w:rPr>
        <w:t>.</w:t>
      </w:r>
    </w:p>
    <w:p w:rsidR="00564E81" w:rsidRDefault="00564E81" w:rsidP="00564E81">
      <w:pPr>
        <w:spacing w:line="360" w:lineRule="auto"/>
        <w:ind w:left="720" w:firstLine="720"/>
        <w:jc w:val="both"/>
        <w:rPr>
          <w:rFonts w:ascii="David" w:hAnsi="David"/>
          <w:b/>
          <w:bCs/>
          <w:rtl/>
        </w:rPr>
      </w:pPr>
      <w:r>
        <w:rPr>
          <w:rFonts w:ascii="David" w:hAnsi="David"/>
          <w:b/>
          <w:bCs/>
          <w:rtl/>
        </w:rPr>
        <w:t xml:space="preserve">א. </w:t>
      </w:r>
      <w:r>
        <w:rPr>
          <w:rFonts w:ascii="David" w:hAnsi="David"/>
          <w:b/>
          <w:bCs/>
          <w:rtl/>
        </w:rPr>
        <w:tab/>
        <w:t>עותק מקורי מהקבלה מספר 03080 מיום 03.07.18.</w:t>
      </w:r>
    </w:p>
    <w:p w:rsidR="00564E81" w:rsidRDefault="00564E81" w:rsidP="00D53762">
      <w:pPr>
        <w:spacing w:line="360" w:lineRule="auto"/>
        <w:ind w:left="2160" w:hanging="720"/>
        <w:jc w:val="both"/>
        <w:rPr>
          <w:rFonts w:ascii="David" w:hAnsi="David"/>
          <w:b/>
          <w:bCs/>
          <w:rtl/>
        </w:rPr>
      </w:pPr>
      <w:r>
        <w:rPr>
          <w:rFonts w:ascii="David" w:hAnsi="David"/>
          <w:b/>
          <w:bCs/>
          <w:rtl/>
        </w:rPr>
        <w:t xml:space="preserve">ב. </w:t>
      </w:r>
      <w:r>
        <w:rPr>
          <w:rFonts w:ascii="David" w:hAnsi="David"/>
          <w:b/>
          <w:bCs/>
          <w:rtl/>
        </w:rPr>
        <w:tab/>
        <w:t>עותק מטיוטת הסכם יחסי ממון שילם מר ד</w:t>
      </w:r>
      <w:r w:rsidR="00D53762">
        <w:rPr>
          <w:rFonts w:ascii="David" w:hAnsi="David" w:hint="cs"/>
          <w:b/>
          <w:bCs/>
          <w:rtl/>
        </w:rPr>
        <w:t>.</w:t>
      </w:r>
      <w:r>
        <w:rPr>
          <w:rFonts w:ascii="David" w:hAnsi="David"/>
          <w:b/>
          <w:bCs/>
          <w:rtl/>
        </w:rPr>
        <w:t xml:space="preserve"> ח</w:t>
      </w:r>
      <w:r w:rsidR="00D53762">
        <w:rPr>
          <w:rFonts w:ascii="David" w:hAnsi="David" w:hint="cs"/>
          <w:b/>
          <w:bCs/>
          <w:rtl/>
        </w:rPr>
        <w:t>.</w:t>
      </w:r>
      <w:r>
        <w:rPr>
          <w:rFonts w:ascii="David" w:hAnsi="David"/>
          <w:b/>
          <w:bCs/>
          <w:rtl/>
        </w:rPr>
        <w:t xml:space="preserve"> לגב' י</w:t>
      </w:r>
      <w:r w:rsidR="00D53762">
        <w:rPr>
          <w:rFonts w:ascii="David" w:hAnsi="David" w:hint="cs"/>
          <w:b/>
          <w:bCs/>
          <w:rtl/>
        </w:rPr>
        <w:t>.</w:t>
      </w:r>
      <w:r>
        <w:rPr>
          <w:rFonts w:ascii="David" w:hAnsi="David"/>
          <w:b/>
          <w:bCs/>
          <w:rtl/>
        </w:rPr>
        <w:t xml:space="preserve"> ב</w:t>
      </w:r>
      <w:r w:rsidR="00D53762">
        <w:rPr>
          <w:rFonts w:ascii="David" w:hAnsi="David" w:hint="cs"/>
          <w:b/>
          <w:bCs/>
          <w:rtl/>
        </w:rPr>
        <w:t>.</w:t>
      </w:r>
      <w:r>
        <w:rPr>
          <w:rFonts w:ascii="David" w:hAnsi="David"/>
          <w:b/>
          <w:bCs/>
          <w:rtl/>
        </w:rPr>
        <w:t>, מחודש מאי 2018 אשר ביחס אליו התבקשתי על ידי גב' י</w:t>
      </w:r>
      <w:r w:rsidR="00D53762">
        <w:rPr>
          <w:rFonts w:ascii="David" w:hAnsi="David" w:hint="cs"/>
          <w:b/>
          <w:bCs/>
          <w:rtl/>
        </w:rPr>
        <w:t>.</w:t>
      </w:r>
      <w:r>
        <w:rPr>
          <w:rFonts w:ascii="David" w:hAnsi="David"/>
          <w:b/>
          <w:bCs/>
          <w:rtl/>
        </w:rPr>
        <w:t xml:space="preserve"> לחוות דעתי.</w:t>
      </w:r>
    </w:p>
    <w:p w:rsidR="00564E81" w:rsidRDefault="00564E81" w:rsidP="00D53762">
      <w:pPr>
        <w:spacing w:line="360" w:lineRule="auto"/>
        <w:ind w:left="2160" w:hanging="720"/>
        <w:jc w:val="both"/>
        <w:rPr>
          <w:rFonts w:ascii="David" w:hAnsi="David"/>
          <w:b/>
          <w:bCs/>
          <w:rtl/>
        </w:rPr>
      </w:pPr>
      <w:r>
        <w:rPr>
          <w:rFonts w:ascii="David" w:hAnsi="David"/>
          <w:b/>
          <w:bCs/>
          <w:rtl/>
        </w:rPr>
        <w:t xml:space="preserve">ג. </w:t>
      </w:r>
      <w:r>
        <w:rPr>
          <w:rFonts w:ascii="David" w:hAnsi="David"/>
          <w:b/>
          <w:bCs/>
          <w:rtl/>
        </w:rPr>
        <w:tab/>
        <w:t>מכתבי תשובותיי לגב' ב</w:t>
      </w:r>
      <w:r w:rsidR="00D53762">
        <w:rPr>
          <w:rFonts w:ascii="David" w:hAnsi="David" w:hint="cs"/>
          <w:b/>
          <w:bCs/>
          <w:rtl/>
        </w:rPr>
        <w:t>.</w:t>
      </w:r>
      <w:r>
        <w:rPr>
          <w:rFonts w:ascii="David" w:hAnsi="David"/>
          <w:b/>
          <w:bCs/>
          <w:rtl/>
        </w:rPr>
        <w:t xml:space="preserve"> מיום 25.2.2018 ו-29.05.2018 ובו התייחסותי והערותיי לטיוטות ההסכמים הנ"ל.</w:t>
      </w:r>
    </w:p>
    <w:p w:rsidR="00564E81" w:rsidRDefault="00564E81" w:rsidP="00D53762">
      <w:pPr>
        <w:spacing w:line="360" w:lineRule="auto"/>
        <w:ind w:left="2160" w:hanging="720"/>
        <w:jc w:val="both"/>
        <w:rPr>
          <w:rFonts w:ascii="David" w:hAnsi="David"/>
          <w:b/>
          <w:bCs/>
          <w:rtl/>
        </w:rPr>
      </w:pPr>
      <w:r>
        <w:rPr>
          <w:rFonts w:ascii="David" w:hAnsi="David"/>
          <w:b/>
          <w:bCs/>
          <w:rtl/>
        </w:rPr>
        <w:t xml:space="preserve">ד. </w:t>
      </w:r>
      <w:r>
        <w:rPr>
          <w:rFonts w:ascii="David" w:hAnsi="David"/>
          <w:b/>
          <w:bCs/>
          <w:rtl/>
        </w:rPr>
        <w:tab/>
        <w:t>מכתבי תשובותיי הנ"ל נשלחו לגב' ב</w:t>
      </w:r>
      <w:r w:rsidR="00D53762">
        <w:rPr>
          <w:rFonts w:ascii="David" w:hAnsi="David" w:hint="cs"/>
          <w:b/>
          <w:bCs/>
          <w:rtl/>
        </w:rPr>
        <w:t>.</w:t>
      </w:r>
      <w:r>
        <w:rPr>
          <w:rFonts w:ascii="David" w:hAnsi="David"/>
          <w:b/>
          <w:bCs/>
          <w:rtl/>
        </w:rPr>
        <w:t xml:space="preserve"> באמצעות הפקסימליה, ובידיי מצויים האישורים בדבר שיגורם בהצלחה.</w:t>
      </w:r>
    </w:p>
    <w:p w:rsidR="00564E81" w:rsidRDefault="00564E81" w:rsidP="00D53762">
      <w:pPr>
        <w:spacing w:line="360" w:lineRule="auto"/>
        <w:ind w:left="1434" w:hanging="720"/>
        <w:jc w:val="both"/>
        <w:rPr>
          <w:rFonts w:ascii="David" w:hAnsi="David"/>
          <w:b/>
          <w:bCs/>
          <w:rtl/>
        </w:rPr>
      </w:pPr>
      <w:r>
        <w:rPr>
          <w:rFonts w:ascii="David" w:hAnsi="David"/>
          <w:b/>
          <w:bCs/>
          <w:rtl/>
        </w:rPr>
        <w:t xml:space="preserve">4. </w:t>
      </w:r>
      <w:r>
        <w:rPr>
          <w:rFonts w:ascii="David" w:hAnsi="David"/>
          <w:b/>
          <w:bCs/>
          <w:rtl/>
        </w:rPr>
        <w:tab/>
        <w:t>מצ"ב כחלק בלתי נפרד מתצהירי זה, צילומי טיוטות ההסכמים, כתבי תשובותיי ומהאישור על שיגורם בפקס לגב' י</w:t>
      </w:r>
      <w:r w:rsidR="00D53762">
        <w:rPr>
          <w:rFonts w:ascii="David" w:hAnsi="David" w:hint="cs"/>
          <w:b/>
          <w:bCs/>
          <w:rtl/>
        </w:rPr>
        <w:t>.</w:t>
      </w:r>
      <w:r>
        <w:rPr>
          <w:rFonts w:ascii="David" w:hAnsi="David"/>
          <w:b/>
          <w:bCs/>
          <w:rtl/>
        </w:rPr>
        <w:t xml:space="preserve"> ב</w:t>
      </w:r>
      <w:r w:rsidR="00D53762">
        <w:rPr>
          <w:rFonts w:ascii="David" w:hAnsi="David" w:hint="cs"/>
          <w:b/>
          <w:bCs/>
          <w:rtl/>
        </w:rPr>
        <w:t>.</w:t>
      </w:r>
      <w:r>
        <w:rPr>
          <w:rFonts w:ascii="David" w:hAnsi="David"/>
          <w:b/>
          <w:bCs/>
          <w:rtl/>
        </w:rPr>
        <w:t>.</w:t>
      </w:r>
    </w:p>
    <w:p w:rsidR="00564E81" w:rsidRDefault="00564E81" w:rsidP="00564E81">
      <w:pPr>
        <w:spacing w:line="360" w:lineRule="auto"/>
        <w:ind w:firstLine="714"/>
        <w:jc w:val="both"/>
        <w:rPr>
          <w:rFonts w:ascii="David" w:hAnsi="David"/>
          <w:rtl/>
        </w:rPr>
      </w:pPr>
      <w:r>
        <w:rPr>
          <w:rFonts w:ascii="David" w:hAnsi="David"/>
          <w:b/>
          <w:bCs/>
          <w:rtl/>
        </w:rPr>
        <w:t xml:space="preserve">5. </w:t>
      </w:r>
      <w:r>
        <w:rPr>
          <w:rFonts w:ascii="David" w:hAnsi="David"/>
          <w:b/>
          <w:bCs/>
          <w:rtl/>
        </w:rPr>
        <w:tab/>
        <w:t>אני מצהיר כי ההסכמים היו לנגד עיניי בתאריכים הרלוונטיים משעת 2018</w:t>
      </w:r>
      <w:r>
        <w:rPr>
          <w:rFonts w:ascii="David" w:hAnsi="David"/>
          <w:rtl/>
        </w:rPr>
        <w:t>".</w:t>
      </w:r>
    </w:p>
    <w:p w:rsidR="00564E81" w:rsidRDefault="00564E81" w:rsidP="00564E81">
      <w:pPr>
        <w:spacing w:line="360" w:lineRule="auto"/>
        <w:ind w:firstLine="714"/>
        <w:jc w:val="both"/>
        <w:rPr>
          <w:rFonts w:ascii="David" w:hAnsi="David"/>
          <w:rtl/>
        </w:rPr>
      </w:pPr>
    </w:p>
    <w:p w:rsidR="00564E81" w:rsidRDefault="00564E81" w:rsidP="00564E81">
      <w:pPr>
        <w:spacing w:line="360" w:lineRule="auto"/>
        <w:jc w:val="both"/>
        <w:rPr>
          <w:rFonts w:ascii="David" w:hAnsi="David"/>
          <w:b/>
          <w:bCs/>
          <w:sz w:val="28"/>
          <w:szCs w:val="28"/>
          <w:rtl/>
        </w:rPr>
      </w:pPr>
      <w:r>
        <w:rPr>
          <w:rFonts w:ascii="David" w:hAnsi="David"/>
          <w:b/>
          <w:bCs/>
          <w:sz w:val="28"/>
          <w:szCs w:val="28"/>
          <w:u w:val="single"/>
          <w:rtl/>
        </w:rPr>
        <w:t>עיקר טענות התובעת</w:t>
      </w:r>
      <w:r>
        <w:rPr>
          <w:rFonts w:ascii="David" w:hAnsi="David"/>
          <w:b/>
          <w:bCs/>
          <w:sz w:val="28"/>
          <w:szCs w:val="28"/>
          <w:rtl/>
        </w:rPr>
        <w:t>:</w:t>
      </w:r>
    </w:p>
    <w:p w:rsidR="00564E81" w:rsidRDefault="00564E81" w:rsidP="00564E81">
      <w:pPr>
        <w:spacing w:line="360" w:lineRule="auto"/>
        <w:jc w:val="both"/>
        <w:rPr>
          <w:rFonts w:ascii="David" w:hAnsi="David"/>
          <w:b/>
          <w:bCs/>
          <w:sz w:val="28"/>
          <w:szCs w:val="28"/>
          <w:rtl/>
        </w:rPr>
      </w:pPr>
    </w:p>
    <w:p w:rsidR="00564E81" w:rsidRDefault="00564E81" w:rsidP="00564E81">
      <w:pPr>
        <w:spacing w:line="360" w:lineRule="auto"/>
        <w:ind w:left="720" w:hanging="720"/>
        <w:jc w:val="both"/>
        <w:rPr>
          <w:rFonts w:ascii="David" w:hAnsi="David"/>
          <w:rtl/>
        </w:rPr>
      </w:pPr>
      <w:r>
        <w:rPr>
          <w:rFonts w:ascii="David" w:hAnsi="David"/>
          <w:rtl/>
        </w:rPr>
        <w:t>5.</w:t>
      </w:r>
      <w:r>
        <w:rPr>
          <w:rFonts w:ascii="David" w:hAnsi="David"/>
          <w:rtl/>
        </w:rPr>
        <w:tab/>
        <w:t xml:space="preserve">לאחר חקירתה הנגדית (בדיון מיום 29.5.2023) נזכרה שפנתה לעו"ד והתייעצה עמו בקשר לטיוטות הסכם פרידה והסכם ממון בינה לבין הנתבע. זיכרונה 'נעור' לאחר שבחקירתה הנגדית עומתה עם שני המסמכים האמורים.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ab/>
        <w:t>התובעת נמקה את אי העלאת הטענה בדבר שני הסכמים אלו במועד הנכון הגשת התביעה בכך  ש"...</w:t>
      </w:r>
      <w:r>
        <w:rPr>
          <w:rFonts w:ascii="David" w:hAnsi="David"/>
          <w:b/>
          <w:bCs/>
          <w:rtl/>
        </w:rPr>
        <w:t>זיכרונה בוגד בה לסירוגין והיא מוכרת ע"י המל"ל כנכה, בין יתר מחלותיה, גם בהפרעת קשב וריכוז</w:t>
      </w:r>
      <w:r>
        <w:rPr>
          <w:rFonts w:ascii="David" w:hAnsi="David"/>
          <w:rtl/>
        </w:rPr>
        <w:t>" (ס' 1 לבקשה).</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rtl/>
        </w:rPr>
        <w:t>התובעת טענה, שבמסגרת עימותה עם המסמכים האמורים, עשתה ב"כ הנתבע "</w:t>
      </w:r>
      <w:r>
        <w:rPr>
          <w:rFonts w:ascii="David" w:hAnsi="David"/>
          <w:b/>
          <w:bCs/>
          <w:rtl/>
        </w:rPr>
        <w:t>תרגיל</w:t>
      </w:r>
      <w:r>
        <w:rPr>
          <w:rFonts w:ascii="David" w:hAnsi="David"/>
          <w:rtl/>
        </w:rPr>
        <w:t>" והציגה מסמך לא חתום במטרה לפסול את עצם קיום הסכם הממון ואת הסכם הפירוד, שאינם חתומים ועל כן משל לא היו קיימים כלל בזמן הרלוונטי ומשקלם אפסי.</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rtl/>
        </w:rPr>
        <w:t>בעקבות הדיון, באת כוחה ביקשה ממנה "</w:t>
      </w:r>
      <w:r>
        <w:rPr>
          <w:rFonts w:ascii="David" w:hAnsi="David"/>
          <w:b/>
          <w:bCs/>
          <w:rtl/>
        </w:rPr>
        <w:t>ל"הפוך אבן לאבן" ולחפש ראיה המוכיחה את ההתייעצות שלה עם עו"ד שבדק ב 2018 את ההסכם</w:t>
      </w:r>
      <w:r>
        <w:rPr>
          <w:rFonts w:ascii="David" w:hAnsi="David"/>
          <w:rtl/>
        </w:rPr>
        <w:t>" (ס'3 לבקשה).</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rtl/>
        </w:rPr>
        <w:lastRenderedPageBreak/>
        <w:t xml:space="preserve"> תוך כדי הבדיקה, מצאה חשבונית מס/קבלה מאותו עורך דין שטענה שייעץ לה (עו"ד מזור). בעקבות הקבלה, איתרה את אותו עורך דין וזה הסביר לה על אותה התייעצות בזמן אמת ואף נתן תצהיר. הקבלה ותצהירו של עורך הדין האמור, שצורפו לבקשה, מעידים לטענתה כאלף עדים על הייעוץ המשפטי שקיבלה על הסכם הממון משנת 2018.</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firstLine="720"/>
        <w:jc w:val="both"/>
        <w:rPr>
          <w:rFonts w:ascii="David" w:hAnsi="David"/>
          <w:rtl/>
        </w:rPr>
      </w:pPr>
      <w:r>
        <w:rPr>
          <w:rFonts w:ascii="David" w:hAnsi="David"/>
          <w:rtl/>
        </w:rPr>
        <w:t>לטענתה, עורך הדין שנתן את התצהיר, מוכן לבוא ולהיחקר על תצהירו.</w:t>
      </w:r>
    </w:p>
    <w:p w:rsidR="00564E81" w:rsidRDefault="00564E81" w:rsidP="00564E81">
      <w:pPr>
        <w:spacing w:line="360" w:lineRule="auto"/>
        <w:ind w:firstLine="720"/>
        <w:jc w:val="both"/>
        <w:rPr>
          <w:rFonts w:ascii="David" w:hAnsi="David"/>
          <w:rtl/>
        </w:rPr>
      </w:pPr>
    </w:p>
    <w:p w:rsidR="00564E81" w:rsidRDefault="00564E81" w:rsidP="00564E81">
      <w:pPr>
        <w:spacing w:line="360" w:lineRule="auto"/>
        <w:ind w:firstLine="720"/>
        <w:jc w:val="both"/>
        <w:rPr>
          <w:rFonts w:ascii="David" w:hAnsi="David"/>
          <w:rtl/>
        </w:rPr>
      </w:pPr>
      <w:r>
        <w:rPr>
          <w:rFonts w:ascii="David" w:hAnsi="David"/>
          <w:rtl/>
        </w:rPr>
        <w:t>בנסיבות אלה, ביקשה להורות על צירוף המסמכים ומתן רשות להזים את טענות הנתבע</w:t>
      </w:r>
      <w:r>
        <w:rPr>
          <w:rFonts w:ascii="David" w:hAnsi="David"/>
          <w:rtl/>
        </w:rPr>
        <w:tab/>
        <w:t>על דרך זימונו של עורך דין מזור לעדות בבית המשפט.</w:t>
      </w:r>
    </w:p>
    <w:p w:rsidR="00564E81" w:rsidRDefault="00564E81" w:rsidP="00564E81">
      <w:pPr>
        <w:spacing w:line="360" w:lineRule="auto"/>
        <w:ind w:firstLine="720"/>
        <w:jc w:val="both"/>
        <w:rPr>
          <w:rFonts w:ascii="David" w:hAnsi="David"/>
          <w:rtl/>
        </w:rPr>
      </w:pPr>
    </w:p>
    <w:p w:rsidR="00564E81" w:rsidRDefault="00564E81" w:rsidP="00564E81">
      <w:pPr>
        <w:spacing w:line="360" w:lineRule="auto"/>
        <w:jc w:val="both"/>
        <w:rPr>
          <w:rFonts w:ascii="David" w:hAnsi="David"/>
          <w:b/>
          <w:bCs/>
          <w:sz w:val="28"/>
          <w:szCs w:val="28"/>
          <w:rtl/>
        </w:rPr>
      </w:pPr>
      <w:r>
        <w:rPr>
          <w:rFonts w:ascii="David" w:hAnsi="David"/>
          <w:b/>
          <w:bCs/>
          <w:sz w:val="28"/>
          <w:szCs w:val="28"/>
          <w:u w:val="single"/>
          <w:rtl/>
        </w:rPr>
        <w:t>עיקר טענות הנתבע</w:t>
      </w:r>
      <w:r>
        <w:rPr>
          <w:rFonts w:ascii="David" w:hAnsi="David"/>
          <w:b/>
          <w:bCs/>
          <w:sz w:val="28"/>
          <w:szCs w:val="28"/>
          <w:rtl/>
        </w:rPr>
        <w:t>:</w:t>
      </w:r>
    </w:p>
    <w:p w:rsidR="00564E81" w:rsidRDefault="00564E81" w:rsidP="00564E81">
      <w:pPr>
        <w:spacing w:line="360" w:lineRule="auto"/>
        <w:jc w:val="both"/>
        <w:rPr>
          <w:rFonts w:ascii="David" w:hAnsi="David"/>
          <w:b/>
          <w:bCs/>
          <w:sz w:val="28"/>
          <w:szCs w:val="28"/>
          <w:rtl/>
        </w:rPr>
      </w:pPr>
    </w:p>
    <w:p w:rsidR="00564E81" w:rsidRDefault="00564E81" w:rsidP="00564E81">
      <w:pPr>
        <w:spacing w:line="360" w:lineRule="auto"/>
        <w:ind w:left="714" w:hanging="630"/>
        <w:jc w:val="both"/>
        <w:rPr>
          <w:rFonts w:ascii="David" w:hAnsi="David"/>
          <w:rtl/>
        </w:rPr>
      </w:pPr>
      <w:r>
        <w:rPr>
          <w:rFonts w:ascii="David" w:hAnsi="David"/>
          <w:rtl/>
        </w:rPr>
        <w:t>6.</w:t>
      </w:r>
      <w:r>
        <w:rPr>
          <w:rFonts w:ascii="David" w:hAnsi="David"/>
          <w:rtl/>
        </w:rPr>
        <w:tab/>
        <w:t>ב"כ הנתבע טענה לעיתוי בהגשת הבקשה וטענה, שלא היה מקום לצרף את אותם מסמכים, אותן ראיות הזמה, טרם מתן ההחלטה בבקשה לצירופה.</w:t>
      </w:r>
    </w:p>
    <w:p w:rsidR="00564E81" w:rsidRDefault="00564E81" w:rsidP="00564E81">
      <w:pPr>
        <w:spacing w:line="360" w:lineRule="auto"/>
        <w:ind w:left="714" w:hanging="630"/>
        <w:jc w:val="both"/>
        <w:rPr>
          <w:rFonts w:ascii="David" w:hAnsi="David"/>
          <w:rtl/>
        </w:rPr>
      </w:pPr>
    </w:p>
    <w:p w:rsidR="00564E81" w:rsidRDefault="00564E81" w:rsidP="00564E81">
      <w:pPr>
        <w:spacing w:line="360" w:lineRule="auto"/>
        <w:ind w:left="714"/>
        <w:jc w:val="both"/>
        <w:rPr>
          <w:rFonts w:ascii="David" w:hAnsi="David"/>
          <w:rtl/>
        </w:rPr>
      </w:pPr>
      <w:r>
        <w:rPr>
          <w:rFonts w:ascii="David" w:hAnsi="David"/>
          <w:rtl/>
        </w:rPr>
        <w:t>ב"כ הנתבע דחתה את הטענה שיוחסה לה על ידי ב"כ התובעת כמי שעשתה "</w:t>
      </w:r>
      <w:r>
        <w:rPr>
          <w:rFonts w:ascii="David" w:hAnsi="David"/>
          <w:b/>
          <w:bCs/>
          <w:rtl/>
        </w:rPr>
        <w:t>תרגיל</w:t>
      </w:r>
      <w:r>
        <w:rPr>
          <w:rFonts w:ascii="David" w:hAnsi="David"/>
          <w:rtl/>
        </w:rPr>
        <w:t>" בהצגת המסמכים ללא החתימה. עורכת הדין נימקה את התנגדותה להגדרה זו, "</w:t>
      </w:r>
      <w:r>
        <w:rPr>
          <w:rFonts w:ascii="David" w:hAnsi="David"/>
          <w:b/>
          <w:bCs/>
          <w:rtl/>
        </w:rPr>
        <w:t>תרגיל</w:t>
      </w:r>
      <w:r>
        <w:rPr>
          <w:rFonts w:ascii="David" w:hAnsi="David"/>
          <w:rtl/>
        </w:rPr>
        <w:t>"  בכך שמשעה שהמסמכים לא חתומים, איזו רבותא יש לכך שהתובעת עצמה לא ערכה אותם? עוד טענה, שמשעה שבית המשפט לא פסל את קו החקירה, הרי ממילא לא ניתן לראות בכך "</w:t>
      </w:r>
      <w:r>
        <w:rPr>
          <w:rFonts w:ascii="David" w:hAnsi="David"/>
          <w:b/>
          <w:bCs/>
          <w:rtl/>
        </w:rPr>
        <w:t>תרגיל</w:t>
      </w:r>
      <w:r>
        <w:rPr>
          <w:rFonts w:ascii="David" w:hAnsi="David"/>
          <w:rtl/>
        </w:rPr>
        <w:t>". התובעת הצהירה "</w:t>
      </w:r>
      <w:r>
        <w:rPr>
          <w:rFonts w:ascii="David" w:hAnsi="David"/>
          <w:b/>
          <w:bCs/>
          <w:rtl/>
        </w:rPr>
        <w:t>"אלו עדיי", התובעת סיימה את עדותה..."</w:t>
      </w:r>
      <w:r>
        <w:rPr>
          <w:rFonts w:ascii="David" w:hAnsi="David"/>
          <w:rtl/>
        </w:rPr>
        <w:t xml:space="preserve"> </w:t>
      </w:r>
      <w:r>
        <w:rPr>
          <w:rFonts w:ascii="David" w:hAnsi="David"/>
          <w:b/>
          <w:bCs/>
          <w:rtl/>
        </w:rPr>
        <w:t>לא ייתכן כי כעת תמשיך להוסיף תצהירים, עדים ומקצה שיפורים לתביעתה, לאחר חקירתה שהיא לא נשאלה עליהם.  כללי סדר הדין לא בכדי קיימים. בבקשת המבקשת עלה שעיקר טענותיה: בגלל התשובה שהיא נתנה בדיון ההוכחות מתבקש להתקן</w:t>
      </w:r>
      <w:r>
        <w:rPr>
          <w:rFonts w:ascii="David" w:hAnsi="David"/>
          <w:rtl/>
        </w:rPr>
        <w:t xml:space="preserve"> (כך במקור) </w:t>
      </w:r>
      <w:r>
        <w:rPr>
          <w:rFonts w:ascii="David" w:hAnsi="David"/>
          <w:b/>
          <w:bCs/>
          <w:rtl/>
        </w:rPr>
        <w:t>ולהוסיף ולהרחיב ולשנות</w:t>
      </w:r>
      <w:r>
        <w:rPr>
          <w:rFonts w:ascii="David" w:hAnsi="David"/>
          <w:rtl/>
        </w:rPr>
        <w:t xml:space="preserve"> ... </w:t>
      </w:r>
      <w:r>
        <w:rPr>
          <w:rFonts w:ascii="David" w:hAnsi="David"/>
          <w:b/>
          <w:bCs/>
          <w:rtl/>
        </w:rPr>
        <w:t>המבקשת היא התובעת, היא קיבלה יומה באופן נדיב בבית המשפט, הרחבת יריעה, כתב תשובה וכו', אך לתת לתובעת את יומה אינו אומר לבצע עיוות דין לנתבע, היה על התובעת לכלכל צעדיה ולשים את כל טענותיה ומסמכיה בקלפים פתוחים</w:t>
      </w:r>
      <w:r>
        <w:rPr>
          <w:rFonts w:ascii="David" w:hAnsi="David"/>
          <w:rtl/>
        </w:rPr>
        <w:t>".</w:t>
      </w:r>
    </w:p>
    <w:p w:rsidR="00564E81" w:rsidRDefault="00564E81" w:rsidP="00564E81">
      <w:pPr>
        <w:spacing w:line="360" w:lineRule="auto"/>
        <w:ind w:left="714"/>
        <w:jc w:val="both"/>
        <w:rPr>
          <w:rFonts w:ascii="David" w:hAnsi="David"/>
          <w:rtl/>
        </w:rPr>
      </w:pPr>
    </w:p>
    <w:p w:rsidR="00564E81" w:rsidRDefault="00564E81" w:rsidP="00564E81">
      <w:pPr>
        <w:spacing w:line="360" w:lineRule="auto"/>
        <w:ind w:left="714"/>
        <w:jc w:val="both"/>
        <w:rPr>
          <w:rFonts w:ascii="David" w:hAnsi="David"/>
          <w:rtl/>
        </w:rPr>
      </w:pPr>
      <w:r>
        <w:rPr>
          <w:rFonts w:ascii="David" w:hAnsi="David"/>
          <w:rtl/>
        </w:rPr>
        <w:t>עוד טען הנתבע, שלא מדובר בראייה שיש בכוחה לשנות, "</w:t>
      </w:r>
      <w:r>
        <w:rPr>
          <w:rFonts w:ascii="David" w:hAnsi="David"/>
          <w:b/>
          <w:bCs/>
          <w:rtl/>
        </w:rPr>
        <w:t xml:space="preserve">כגון הסכם """חתום""" </w:t>
      </w:r>
      <w:r>
        <w:rPr>
          <w:rFonts w:ascii="David" w:hAnsi="David"/>
          <w:rtl/>
        </w:rPr>
        <w:t xml:space="preserve">(כך במקור) </w:t>
      </w:r>
      <w:r>
        <w:rPr>
          <w:rFonts w:ascii="David" w:hAnsi="David"/>
          <w:b/>
          <w:bCs/>
          <w:rtl/>
        </w:rPr>
        <w:t>ע"י המשיב שלכאורה נמצא</w:t>
      </w:r>
      <w:r>
        <w:rPr>
          <w:rFonts w:ascii="David" w:hAnsi="David"/>
          <w:rtl/>
        </w:rPr>
        <w:t xml:space="preserve">. </w:t>
      </w:r>
      <w:r>
        <w:rPr>
          <w:rFonts w:ascii="David" w:hAnsi="David"/>
          <w:b/>
          <w:bCs/>
          <w:rtl/>
        </w:rPr>
        <w:t>מדובר לכל היותר בעדות מפי השמועה, לפיה התובעת טוענת ששאלה עו"ד פלוני אלמוני שאלות, ייעוץ משפטי לפני שנים לכאורה, גם נניח לצורך בחינת הטענה שהיא נכונה לכאורה-אזי גם בה יש הרחבת יריעה פסולה</w:t>
      </w:r>
      <w:r>
        <w:rPr>
          <w:rFonts w:ascii="David" w:hAnsi="David"/>
          <w:rtl/>
        </w:rPr>
        <w:t>."</w:t>
      </w:r>
    </w:p>
    <w:p w:rsidR="00564E81" w:rsidRDefault="00564E81" w:rsidP="00564E81">
      <w:pPr>
        <w:spacing w:line="360" w:lineRule="auto"/>
        <w:ind w:left="714"/>
        <w:jc w:val="both"/>
        <w:rPr>
          <w:rFonts w:ascii="David" w:hAnsi="David"/>
          <w:rtl/>
        </w:rPr>
      </w:pPr>
    </w:p>
    <w:p w:rsidR="00564E81" w:rsidRDefault="00564E81" w:rsidP="00564E81">
      <w:pPr>
        <w:spacing w:line="360" w:lineRule="auto"/>
        <w:ind w:left="714"/>
        <w:jc w:val="both"/>
        <w:rPr>
          <w:rFonts w:ascii="David" w:hAnsi="David"/>
          <w:rtl/>
        </w:rPr>
      </w:pPr>
      <w:r>
        <w:rPr>
          <w:rFonts w:ascii="David" w:hAnsi="David"/>
          <w:rtl/>
        </w:rPr>
        <w:t>בנסיבות אלו עתר לדחיית הבקשה ולפסוק "</w:t>
      </w:r>
      <w:r>
        <w:rPr>
          <w:rFonts w:ascii="David" w:hAnsi="David"/>
          <w:b/>
          <w:bCs/>
          <w:rtl/>
        </w:rPr>
        <w:t>הוצאות עונשיות</w:t>
      </w:r>
      <w:r>
        <w:rPr>
          <w:rFonts w:ascii="David" w:hAnsi="David"/>
          <w:rtl/>
        </w:rPr>
        <w:t>" כנגד המבקשת.</w:t>
      </w:r>
    </w:p>
    <w:p w:rsidR="00564E81" w:rsidRDefault="00564E81" w:rsidP="00564E81">
      <w:pPr>
        <w:spacing w:line="360" w:lineRule="auto"/>
        <w:ind w:left="714"/>
        <w:jc w:val="both"/>
        <w:rPr>
          <w:rFonts w:ascii="David" w:hAnsi="David"/>
          <w:rtl/>
        </w:rPr>
      </w:pPr>
    </w:p>
    <w:p w:rsidR="00564E81" w:rsidRDefault="00564E81" w:rsidP="00564E81">
      <w:pPr>
        <w:spacing w:line="480" w:lineRule="auto"/>
        <w:jc w:val="both"/>
        <w:rPr>
          <w:rFonts w:ascii="David" w:hAnsi="David"/>
          <w:b/>
          <w:bCs/>
          <w:sz w:val="28"/>
          <w:szCs w:val="28"/>
          <w:rtl/>
        </w:rPr>
      </w:pPr>
      <w:r>
        <w:rPr>
          <w:rFonts w:ascii="David" w:hAnsi="David"/>
          <w:b/>
          <w:bCs/>
          <w:sz w:val="28"/>
          <w:szCs w:val="28"/>
          <w:u w:val="single"/>
          <w:rtl/>
        </w:rPr>
        <w:t>דיון והכרעה</w:t>
      </w:r>
      <w:r>
        <w:rPr>
          <w:rFonts w:ascii="David" w:hAnsi="David"/>
          <w:b/>
          <w:bCs/>
          <w:sz w:val="28"/>
          <w:szCs w:val="28"/>
          <w:rtl/>
        </w:rPr>
        <w:t>:</w:t>
      </w:r>
    </w:p>
    <w:p w:rsidR="00564E81" w:rsidRDefault="00564E81" w:rsidP="00564E81">
      <w:pPr>
        <w:spacing w:line="480" w:lineRule="auto"/>
        <w:jc w:val="both"/>
        <w:rPr>
          <w:rFonts w:ascii="David" w:hAnsi="David"/>
          <w:rtl/>
        </w:rPr>
      </w:pPr>
      <w:r>
        <w:rPr>
          <w:rFonts w:ascii="David" w:hAnsi="David"/>
          <w:b/>
          <w:bCs/>
          <w:rtl/>
        </w:rPr>
        <w:t>מתווה נורמטיבי</w:t>
      </w:r>
      <w:r>
        <w:rPr>
          <w:rFonts w:ascii="David" w:hAnsi="David"/>
          <w:rtl/>
        </w:rPr>
        <w:t>:</w:t>
      </w:r>
    </w:p>
    <w:p w:rsidR="00564E81" w:rsidRDefault="00564E81" w:rsidP="00564E81">
      <w:pPr>
        <w:spacing w:line="360" w:lineRule="auto"/>
        <w:ind w:left="720" w:hanging="720"/>
        <w:jc w:val="both"/>
        <w:rPr>
          <w:rFonts w:ascii="David" w:hAnsi="David"/>
          <w:rtl/>
        </w:rPr>
      </w:pPr>
      <w:r>
        <w:rPr>
          <w:rFonts w:ascii="David" w:hAnsi="David"/>
          <w:rtl/>
        </w:rPr>
        <w:lastRenderedPageBreak/>
        <w:t>7.</w:t>
      </w:r>
      <w:r>
        <w:rPr>
          <w:rFonts w:ascii="David" w:hAnsi="David"/>
          <w:rtl/>
        </w:rPr>
        <w:tab/>
        <w:t>ההלכה הנוהגת היא, שעל בית המשפט לנהוג בליברליות באשר לזכות הטיעון ואין עוד צורך לשוב על ההלכות אשר מסיגות את הפרוצדורה מפני המהות. יחד עם זאת, גם הליברליות הדיונית מחייבת כללים אימתי לא תנוצל הליברליות השיפוטית לאנרכיה התנהגותית.</w:t>
      </w:r>
    </w:p>
    <w:p w:rsidR="00564E81" w:rsidRDefault="00564E81" w:rsidP="00564E81">
      <w:pPr>
        <w:spacing w:line="360" w:lineRule="auto"/>
        <w:ind w:left="720" w:hanging="720"/>
        <w:jc w:val="both"/>
        <w:rPr>
          <w:rFonts w:ascii="David" w:hAnsi="David"/>
          <w:rtl/>
        </w:rPr>
      </w:pPr>
      <w:r>
        <w:rPr>
          <w:rFonts w:ascii="David" w:hAnsi="David"/>
          <w:rtl/>
        </w:rPr>
        <w:tab/>
        <w:t xml:space="preserve">בפרשת רוזין נקבע: </w:t>
      </w:r>
      <w:r>
        <w:rPr>
          <w:rFonts w:ascii="David" w:hAnsi="David"/>
          <w:b/>
          <w:bCs/>
          <w:rtl/>
        </w:rPr>
        <w:t xml:space="preserve">"אמנם כן הוא: דלתותיהם  של בתי המשפט פתוחות </w:t>
      </w:r>
      <w:r>
        <w:rPr>
          <w:rFonts w:ascii="David" w:hAnsi="David"/>
          <w:rtl/>
        </w:rPr>
        <w:t>...</w:t>
      </w:r>
      <w:r>
        <w:rPr>
          <w:rFonts w:ascii="David" w:hAnsi="David"/>
          <w:b/>
          <w:bCs/>
          <w:rtl/>
        </w:rPr>
        <w:t>ואולם, משעברנו את השערים ונכנסנו אל הטרקלין מחובתנו לשמור על סדרים שקבע בעל הבית...כלל הוא לעניין הגשת ראיות , שבעל דין אמור וחייב להגישן ב"חבילה אחת" – כך, לא בתפזורת, זעיר שם וזעיר שם".</w:t>
      </w:r>
      <w:r>
        <w:rPr>
          <w:rFonts w:ascii="David" w:hAnsi="David"/>
          <w:rtl/>
        </w:rPr>
        <w:t xml:space="preserve"> (</w:t>
      </w:r>
      <w:r>
        <w:rPr>
          <w:rFonts w:ascii="David" w:hAnsi="David"/>
          <w:u w:val="single"/>
          <w:rtl/>
        </w:rPr>
        <w:t xml:space="preserve">ע"א 579/90 </w:t>
      </w:r>
      <w:r>
        <w:rPr>
          <w:rFonts w:ascii="David" w:hAnsi="David"/>
          <w:b/>
          <w:bCs/>
          <w:rtl/>
        </w:rPr>
        <w:t xml:space="preserve">מרדכי וגילה רוזין </w:t>
      </w:r>
      <w:r>
        <w:rPr>
          <w:rFonts w:ascii="David" w:hAnsi="David"/>
          <w:rtl/>
        </w:rPr>
        <w:t>נ'</w:t>
      </w:r>
      <w:r>
        <w:rPr>
          <w:rFonts w:ascii="David" w:hAnsi="David"/>
          <w:b/>
          <w:bCs/>
          <w:rtl/>
        </w:rPr>
        <w:t xml:space="preserve"> צפורה בן נון</w:t>
      </w:r>
      <w:r>
        <w:rPr>
          <w:rFonts w:ascii="David" w:hAnsi="David"/>
          <w:rtl/>
        </w:rPr>
        <w:t xml:space="preserve"> פ"ד מו (3) 738, (05/07/1992)).</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jc w:val="both"/>
        <w:rPr>
          <w:rFonts w:ascii="David" w:hAnsi="David"/>
        </w:rPr>
      </w:pPr>
      <w:r>
        <w:rPr>
          <w:rFonts w:ascii="David" w:hAnsi="David"/>
          <w:rtl/>
        </w:rPr>
        <w:t>"</w:t>
      </w:r>
      <w:r>
        <w:rPr>
          <w:rFonts w:ascii="David" w:hAnsi="David"/>
          <w:b/>
          <w:bCs/>
          <w:rtl/>
        </w:rPr>
        <w:t>אשר לליברליות בשמירה על קיום תקנות סדר הדין ונטיית בית משפט זה שלא לקפח זכות מהותית בשם פגם פורמליסטי, נטייה זו מצאה לה ביטוי הולם ב-</w:t>
      </w:r>
      <w:r>
        <w:rPr>
          <w:rFonts w:ascii="David" w:hAnsi="David"/>
          <w:b/>
          <w:bCs/>
          <w:u w:val="single"/>
          <w:rtl/>
        </w:rPr>
        <w:t>ע"א 189/66</w:t>
      </w:r>
      <w:r>
        <w:rPr>
          <w:rFonts w:ascii="David" w:hAnsi="David"/>
          <w:b/>
          <w:bCs/>
          <w:rtl/>
        </w:rPr>
        <w:t xml:space="preserve"> [4], בע' 479, לו הייתי שותף גם אני ואשר בו אמר השופט ברנזון כי "הפרוצדורה אינה מיטת סדום שבה מקצצים את רגליו או מתיזים את ראשו של בעל דין כדי להכניסו לתוכה כנכה או כבר-מינן". אולם, אין לשכוח כי דברים אלה לא נועדו להתיר את הרסן לכל בעל דין לנהוג בתקנות כאוות נפשו, רוצה – מקיימן, לא רוצה – אינו מקיימן</w:t>
      </w:r>
      <w:r>
        <w:rPr>
          <w:rFonts w:ascii="David" w:hAnsi="David"/>
          <w:rtl/>
        </w:rPr>
        <w:t>." (</w:t>
      </w:r>
      <w:r>
        <w:rPr>
          <w:rFonts w:ascii="David" w:hAnsi="David"/>
          <w:u w:val="single"/>
          <w:rtl/>
        </w:rPr>
        <w:t xml:space="preserve">ע"א 103/71 </w:t>
      </w:r>
      <w:r>
        <w:rPr>
          <w:rFonts w:ascii="David" w:hAnsi="David"/>
          <w:b/>
          <w:bCs/>
          <w:rtl/>
        </w:rPr>
        <w:t xml:space="preserve">יום טוב נורדיה </w:t>
      </w:r>
      <w:r>
        <w:rPr>
          <w:rFonts w:ascii="David" w:hAnsi="David"/>
          <w:rtl/>
        </w:rPr>
        <w:t>נ'</w:t>
      </w:r>
      <w:r>
        <w:rPr>
          <w:rFonts w:ascii="David" w:hAnsi="David"/>
          <w:b/>
          <w:bCs/>
          <w:rtl/>
        </w:rPr>
        <w:t xml:space="preserve"> ברוך בכר</w:t>
      </w:r>
      <w:r>
        <w:rPr>
          <w:rFonts w:ascii="David" w:hAnsi="David"/>
          <w:rtl/>
        </w:rPr>
        <w:t xml:space="preserve"> (17.1.1972)).</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8.</w:t>
      </w:r>
      <w:r>
        <w:rPr>
          <w:rFonts w:ascii="David" w:hAnsi="David"/>
          <w:rtl/>
        </w:rPr>
        <w:tab/>
        <w:t>"</w:t>
      </w:r>
      <w:r>
        <w:rPr>
          <w:rFonts w:ascii="David" w:hAnsi="David"/>
          <w:b/>
          <w:bCs/>
          <w:rtl/>
        </w:rPr>
        <w:t>הכלל האוסר קבלת ראיות לאחר שלב ההוכחות אינו כלל דיוני גרידה, אלא הוא נועד גם להבטיח את זכויותיו של הצד שכנגד ושלא ייפגע ניהולו התקין של המשפט. יש לשמור על האיזון העדין שבין הצדדים אשר עליו מושתת השיטה אדברסרית המכתיבה את סדר ניהול ההליך, על עקרון סופיות הדיון ועל השאיפה לנהל משפט בצורה יעילה. לצד זאת, ישנם מקרים שהצורך בגילוי וחשיפת האמת כה רב עד כדי להביא להטיית הכף לכיוון קבלת הראייה הנוספת, גם במחיר של פגיעה מסוימת בכללי הפרוצדורה ושיקולים דיוניים. הפסיקה הצביעה על כמה מבחנים שעלינו להביא בחשבון בבחינת השאלה האם להתיר הגשת שאלה מסוימת באיחור, אם לאו. למשל: תרומתה של הראייה שהוספתה מתבקשת לגילוי האמת. יש לבחון האם החיוב שבקבלת הראיה הנוספת עולה על השלילה שבסטייה מהנהלים הקבועים? בכדי להכריע בשאלה, בית המשפט יתחשב בין היתר בשלב בו נודע לצד המבקש הבאת הראייה דבר קיומה. במלים אחרות, האם הצד ידע או יכול היה לדעת על קיומה של הראייה בשלב מוקדם יותר</w:t>
      </w:r>
      <w:r>
        <w:rPr>
          <w:rFonts w:ascii="David" w:hAnsi="David"/>
          <w:rtl/>
        </w:rPr>
        <w:t>". (</w:t>
      </w:r>
      <w:r>
        <w:rPr>
          <w:rFonts w:ascii="David" w:hAnsi="David"/>
          <w:u w:val="single"/>
          <w:rtl/>
        </w:rPr>
        <w:t xml:space="preserve">רע"א 2715/13 </w:t>
      </w:r>
      <w:r>
        <w:rPr>
          <w:rFonts w:ascii="David" w:hAnsi="David"/>
          <w:b/>
          <w:bCs/>
          <w:rtl/>
        </w:rPr>
        <w:t xml:space="preserve">חוסיין וורדה </w:t>
      </w:r>
      <w:r>
        <w:rPr>
          <w:rFonts w:ascii="David" w:hAnsi="David"/>
          <w:rtl/>
        </w:rPr>
        <w:t>נ'</w:t>
      </w:r>
      <w:r>
        <w:rPr>
          <w:rFonts w:ascii="David" w:hAnsi="David"/>
          <w:b/>
          <w:bCs/>
          <w:rtl/>
        </w:rPr>
        <w:t xml:space="preserve"> מנהל מקרקעי ישראל ואח' </w:t>
      </w:r>
      <w:r>
        <w:rPr>
          <w:rFonts w:ascii="David" w:hAnsi="David"/>
          <w:rtl/>
        </w:rPr>
        <w:t xml:space="preserve">[28.11.2013] סעיף 4 להחלטה). (כן ראו </w:t>
      </w:r>
      <w:r>
        <w:rPr>
          <w:rFonts w:ascii="David" w:hAnsi="David"/>
          <w:u w:val="single"/>
          <w:rtl/>
        </w:rPr>
        <w:t>ע"א 189/66</w:t>
      </w:r>
      <w:r>
        <w:rPr>
          <w:rFonts w:ascii="David" w:hAnsi="David"/>
          <w:rtl/>
        </w:rPr>
        <w:t xml:space="preserve"> </w:t>
      </w:r>
      <w:r>
        <w:rPr>
          <w:rFonts w:ascii="David" w:hAnsi="David"/>
          <w:b/>
          <w:bCs/>
          <w:rtl/>
        </w:rPr>
        <w:t xml:space="preserve">עזיז ששון </w:t>
      </w:r>
      <w:r>
        <w:rPr>
          <w:rFonts w:ascii="David" w:hAnsi="David"/>
          <w:rtl/>
        </w:rPr>
        <w:t xml:space="preserve">נ' </w:t>
      </w:r>
      <w:r>
        <w:rPr>
          <w:rFonts w:ascii="David" w:hAnsi="David"/>
          <w:b/>
          <w:bCs/>
          <w:rtl/>
        </w:rPr>
        <w:t>קדמה בע"מ, בית חרושת למכונאות וציוד</w:t>
      </w:r>
      <w:r>
        <w:rPr>
          <w:rFonts w:ascii="David" w:hAnsi="David"/>
          <w:rtl/>
        </w:rPr>
        <w:t xml:space="preserve"> פד"י כ(3)477 (18.7.1966)).</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9.</w:t>
      </w:r>
      <w:r>
        <w:rPr>
          <w:rFonts w:ascii="David" w:hAnsi="David"/>
          <w:rtl/>
        </w:rPr>
        <w:tab/>
        <w:t>אמנם, בנסיבות מסוימות יותר לבעל דין להוסיף ראייה אף בשלב ערעור, ועל כן, חזקה שיכול בעל דין, באישור בית המשפט, להגיש ראייה, בפני הערכאה הדיונית, גם בשלב בו מצוי תיק זה לאחר תום עדותה של התובעת וטרם עדותו של הנתבע. ברם, הוספת ראייה בשלב זה של התיק, מחייבת עמידה בכללים הקבועים לצורך כך "</w:t>
      </w:r>
      <w:r>
        <w:rPr>
          <w:rFonts w:ascii="David" w:hAnsi="David"/>
          <w:b/>
          <w:bCs/>
          <w:rtl/>
        </w:rPr>
        <w:t xml:space="preserve">וככלל יש להקפיד על סדרי דין תקינים, לרבות </w:t>
      </w:r>
      <w:r>
        <w:rPr>
          <w:rFonts w:ascii="David" w:hAnsi="David"/>
          <w:b/>
          <w:bCs/>
          <w:rtl/>
        </w:rPr>
        <w:lastRenderedPageBreak/>
        <w:t>המצאת ראיות בשלב הנועד לכך"</w:t>
      </w:r>
      <w:r>
        <w:rPr>
          <w:rFonts w:ascii="David" w:hAnsi="David"/>
          <w:rtl/>
        </w:rPr>
        <w:t xml:space="preserve">( </w:t>
      </w:r>
      <w:r>
        <w:rPr>
          <w:rFonts w:ascii="David" w:hAnsi="David"/>
          <w:u w:val="single"/>
          <w:rtl/>
        </w:rPr>
        <w:t xml:space="preserve">ע"א 714/88 </w:t>
      </w:r>
      <w:r>
        <w:rPr>
          <w:rFonts w:ascii="David" w:hAnsi="David"/>
          <w:b/>
          <w:bCs/>
          <w:rtl/>
        </w:rPr>
        <w:t xml:space="preserve">שנצר </w:t>
      </w:r>
      <w:r>
        <w:rPr>
          <w:rFonts w:ascii="David" w:hAnsi="David"/>
          <w:rtl/>
        </w:rPr>
        <w:t>נ'</w:t>
      </w:r>
      <w:r>
        <w:rPr>
          <w:rFonts w:ascii="David" w:hAnsi="David"/>
          <w:b/>
          <w:bCs/>
          <w:rtl/>
        </w:rPr>
        <w:t xml:space="preserve"> ריבלין</w:t>
      </w:r>
      <w:r>
        <w:rPr>
          <w:rFonts w:ascii="David" w:hAnsi="David"/>
          <w:rtl/>
        </w:rPr>
        <w:t xml:space="preserve"> פ"ד מה (2) 89, 95 (21/02/1991)).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ab/>
        <w:t xml:space="preserve">לצורך קבלת הראיה הנוספת על בית המשפט לבחון  הן את מרכזיותה של הראיה וחשיבותה של הראיה והן את קבילותה לו הייתה מוגשת במועד. המבקשת לא העלתה כל הסבר או תשתית לכך.  הסבר שכזה הוא מהותי ובהעדרו די בכך כדי לדחות הבקשה.(עניין </w:t>
      </w:r>
      <w:r>
        <w:rPr>
          <w:rFonts w:ascii="David" w:hAnsi="David"/>
          <w:u w:val="single"/>
          <w:rtl/>
        </w:rPr>
        <w:t xml:space="preserve">ע"א 189/66 </w:t>
      </w:r>
      <w:r>
        <w:rPr>
          <w:rFonts w:ascii="David" w:hAnsi="David"/>
          <w:rtl/>
        </w:rPr>
        <w:t xml:space="preserve">ששון נ' קדימה הנ"ל). זאת ועוד, הגשת הבקשה לעת הזו עשויה </w:t>
      </w:r>
      <w:r>
        <w:rPr>
          <w:rFonts w:ascii="David" w:hAnsi="David"/>
          <w:b/>
          <w:bCs/>
          <w:rtl/>
        </w:rPr>
        <w:t>"</w:t>
      </w:r>
      <w:r>
        <w:rPr>
          <w:rFonts w:ascii="David" w:hAnsi="David"/>
          <w:rtl/>
        </w:rPr>
        <w:t>...</w:t>
      </w:r>
      <w:r>
        <w:rPr>
          <w:rFonts w:ascii="David" w:hAnsi="David"/>
          <w:b/>
          <w:bCs/>
          <w:rtl/>
        </w:rPr>
        <w:t>להפר את האיזון  העדין שבין הצדדים"</w:t>
      </w:r>
      <w:r>
        <w:rPr>
          <w:rFonts w:ascii="David" w:hAnsi="David"/>
          <w:rtl/>
        </w:rPr>
        <w:t xml:space="preserve"> (</w:t>
      </w:r>
      <w:r>
        <w:rPr>
          <w:rFonts w:ascii="David" w:hAnsi="David"/>
          <w:u w:val="single"/>
          <w:rtl/>
        </w:rPr>
        <w:t>בש"א</w:t>
      </w:r>
      <w:r>
        <w:rPr>
          <w:rFonts w:ascii="David" w:hAnsi="David"/>
          <w:rtl/>
        </w:rPr>
        <w:t xml:space="preserve"> </w:t>
      </w:r>
      <w:r>
        <w:rPr>
          <w:rFonts w:ascii="David" w:hAnsi="David"/>
          <w:u w:val="single"/>
          <w:rtl/>
        </w:rPr>
        <w:t xml:space="preserve">(מחוזי ירושלים) 7984/09 </w:t>
      </w:r>
      <w:r>
        <w:rPr>
          <w:rFonts w:ascii="David" w:hAnsi="David"/>
          <w:b/>
          <w:bCs/>
          <w:rtl/>
        </w:rPr>
        <w:t xml:space="preserve">רוזן </w:t>
      </w:r>
      <w:r>
        <w:rPr>
          <w:rFonts w:ascii="David" w:hAnsi="David"/>
          <w:rtl/>
        </w:rPr>
        <w:t>נ'</w:t>
      </w:r>
      <w:r>
        <w:rPr>
          <w:rFonts w:ascii="David" w:hAnsi="David"/>
          <w:b/>
          <w:bCs/>
          <w:rtl/>
        </w:rPr>
        <w:t xml:space="preserve"> ארזי הבירה בע"מ</w:t>
      </w:r>
      <w:r>
        <w:rPr>
          <w:rFonts w:ascii="David" w:hAnsi="David"/>
          <w:rtl/>
        </w:rPr>
        <w:t xml:space="preserve"> (09/07/2009)).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jc w:val="both"/>
        <w:rPr>
          <w:rFonts w:ascii="David" w:hAnsi="David"/>
          <w:b/>
          <w:bCs/>
          <w:rtl/>
        </w:rPr>
      </w:pPr>
      <w:r>
        <w:rPr>
          <w:rFonts w:ascii="David" w:hAnsi="David"/>
          <w:b/>
          <w:bCs/>
          <w:rtl/>
        </w:rPr>
        <w:t>מן הכלל אל הפרט:</w:t>
      </w:r>
    </w:p>
    <w:p w:rsidR="00564E81" w:rsidRDefault="00564E81" w:rsidP="00564E81">
      <w:pPr>
        <w:spacing w:line="360" w:lineRule="auto"/>
        <w:jc w:val="both"/>
        <w:rPr>
          <w:rFonts w:ascii="David" w:hAnsi="David"/>
          <w:b/>
          <w:bCs/>
          <w:rtl/>
        </w:rPr>
      </w:pPr>
    </w:p>
    <w:p w:rsidR="00564E81" w:rsidRDefault="00564E81" w:rsidP="00564E81">
      <w:pPr>
        <w:spacing w:line="360" w:lineRule="auto"/>
        <w:ind w:left="720" w:hanging="634"/>
        <w:jc w:val="both"/>
        <w:rPr>
          <w:rFonts w:ascii="David" w:hAnsi="David"/>
          <w:rtl/>
        </w:rPr>
      </w:pPr>
      <w:r>
        <w:rPr>
          <w:rFonts w:ascii="David" w:hAnsi="David"/>
          <w:rtl/>
        </w:rPr>
        <w:t>10.</w:t>
      </w:r>
      <w:r>
        <w:rPr>
          <w:rFonts w:ascii="David" w:hAnsi="David"/>
          <w:rtl/>
        </w:rPr>
        <w:tab/>
        <w:t>על אתר יאמר שהמסמכים אותם מבקשת התובעת לצרף לתיק לאחר תום חקירתה הנגדית היו אמורים להיות מוגשים עם הגשת התביעה. דומה שאין צורך להכביר מילים על חובת הגילוי המורחבת שחלה על צדדים המתדיינים בבית משפט לענייני משפחה (תקנה 17 ל-</w:t>
      </w:r>
      <w:r>
        <w:rPr>
          <w:rFonts w:ascii="David" w:hAnsi="David"/>
          <w:u w:val="single"/>
          <w:rtl/>
        </w:rPr>
        <w:t>תקנות בית המשפט לענייני משפחה (סדרי דין) תשפ"א-2020)</w:t>
      </w:r>
      <w:r>
        <w:rPr>
          <w:rFonts w:ascii="David" w:hAnsi="David"/>
          <w:rtl/>
        </w:rPr>
        <w:t xml:space="preserve">. </w:t>
      </w:r>
    </w:p>
    <w:p w:rsidR="00564E81" w:rsidRDefault="00564E81" w:rsidP="00564E81">
      <w:pPr>
        <w:spacing w:line="360" w:lineRule="auto"/>
        <w:ind w:left="720" w:hanging="634"/>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11.</w:t>
      </w:r>
      <w:r>
        <w:rPr>
          <w:rFonts w:ascii="David" w:hAnsi="David"/>
          <w:rtl/>
        </w:rPr>
        <w:tab/>
        <w:t>בבקשתה של המבקשת אין כל הסבר מה טעם לא חיפשה את עו"ד מזור, את הקבלה שהובילה אליו טרם הגשת התביעה. הסברה הוא, כאמור, שחקירתה הנגדית ועימותה עם המסמכים רעננה את זיכרונה. הקושי העולה מהסברה של התובעת ש"</w:t>
      </w:r>
      <w:r>
        <w:rPr>
          <w:rFonts w:ascii="David" w:hAnsi="David"/>
          <w:b/>
          <w:bCs/>
          <w:rtl/>
        </w:rPr>
        <w:t>זכרונה בוגד בה לסירוגין</w:t>
      </w:r>
      <w:r>
        <w:rPr>
          <w:rFonts w:ascii="David" w:hAnsi="David"/>
          <w:rtl/>
        </w:rPr>
        <w:t xml:space="preserve">"  מובילה דווקא לדחיית הבקשה שכן לא ברור אם בעת הגשת הבקשה או התביעה זיכרונה לא בגד בה בפריסת והעלאת העובדות. כך, למשל, האם אכן כטענתה שנזכרה בהתייעצותה עם עו"ד מזור רק לאחר חקירתה הנגדית, או שמא ביקשה להתעלם מאותה התייעצות ומשהועלתה ביקשה לצרף המסמכים לתיק. לא ברור לבית המשפט לאיזה חלק בעדותה בהקשר זה הוא אמור להאמין או לקבל את אותה עדות שאולי אינה מתוך זיכרונה שלה.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13"/>
        <w:jc w:val="both"/>
        <w:rPr>
          <w:rFonts w:ascii="David" w:hAnsi="David"/>
          <w:rtl/>
        </w:rPr>
      </w:pPr>
      <w:r>
        <w:rPr>
          <w:rFonts w:ascii="David" w:hAnsi="David"/>
          <w:rtl/>
        </w:rPr>
        <w:t xml:space="preserve">קושי זה מתעצם  שבעתיים שעה שהמבקשת לא צירפה לבקשתה תימוכין לטענה זו-אותה נכות נטענת-מכוחה היא זכאית לנכות מאת המוסד לביטוח לאומי. </w:t>
      </w:r>
    </w:p>
    <w:p w:rsidR="00564E81" w:rsidRDefault="00564E81" w:rsidP="00564E81">
      <w:pPr>
        <w:spacing w:line="360" w:lineRule="auto"/>
        <w:ind w:left="713"/>
        <w:jc w:val="both"/>
        <w:rPr>
          <w:rFonts w:ascii="David" w:hAnsi="David"/>
          <w:rtl/>
        </w:rPr>
      </w:pPr>
    </w:p>
    <w:p w:rsidR="00564E81" w:rsidRDefault="00564E81" w:rsidP="00564E81">
      <w:pPr>
        <w:spacing w:line="360" w:lineRule="auto"/>
        <w:ind w:left="713"/>
        <w:jc w:val="both"/>
        <w:rPr>
          <w:rFonts w:ascii="David" w:hAnsi="David"/>
          <w:rtl/>
        </w:rPr>
      </w:pPr>
      <w:r>
        <w:rPr>
          <w:rFonts w:ascii="David" w:hAnsi="David"/>
          <w:rtl/>
        </w:rPr>
        <w:t xml:space="preserve">בסעיף 10 לכתב התביעה טענה התובעת שהיא נכה 100% לצמיתות.  גם לכתב התביעה לא צירפה התובעת אישור מהמל"ל התומך בטענה זו או הסבר על מהות נכותה המקרינה על בקשתה זו. כך, בהרצאת הפרטים ציינה התובעת ששכרה עומד על סך של 3,217 ₪ ברוטו לחודש, אך אין בכתב התביעה ראיה לכך  זולת טענתה בסעיף 35 לכתב התביעה שזה סכום אותו היא מקבלת מהמל"ל. </w:t>
      </w:r>
    </w:p>
    <w:p w:rsidR="00564E81" w:rsidRDefault="00564E81" w:rsidP="00564E81">
      <w:pPr>
        <w:spacing w:line="360" w:lineRule="auto"/>
        <w:ind w:left="713"/>
        <w:jc w:val="both"/>
        <w:rPr>
          <w:rFonts w:ascii="David" w:hAnsi="David"/>
          <w:rtl/>
        </w:rPr>
      </w:pPr>
    </w:p>
    <w:p w:rsidR="00564E81" w:rsidRDefault="00564E81" w:rsidP="00564E81">
      <w:pPr>
        <w:spacing w:line="360" w:lineRule="auto"/>
        <w:ind w:left="713"/>
        <w:jc w:val="both"/>
        <w:rPr>
          <w:rFonts w:ascii="David" w:hAnsi="David"/>
          <w:rtl/>
        </w:rPr>
      </w:pPr>
      <w:r>
        <w:rPr>
          <w:rFonts w:ascii="David" w:hAnsi="David"/>
          <w:rtl/>
        </w:rPr>
        <w:t xml:space="preserve">אם בכל האמור לא די נטען על ידי התובעת שחלק ממחלותיה מכוחן נכותה היא שזיכרונה שבוגד בה והיא סובלת מבעיית קשב וריכוז. </w:t>
      </w:r>
    </w:p>
    <w:p w:rsidR="00564E81" w:rsidRDefault="00564E81" w:rsidP="00564E81">
      <w:pPr>
        <w:spacing w:line="360" w:lineRule="auto"/>
        <w:ind w:left="713"/>
        <w:jc w:val="both"/>
        <w:rPr>
          <w:rFonts w:ascii="David" w:hAnsi="David"/>
          <w:rtl/>
        </w:rPr>
      </w:pPr>
    </w:p>
    <w:p w:rsidR="00564E81" w:rsidRDefault="00564E81" w:rsidP="00564E81">
      <w:pPr>
        <w:spacing w:line="360" w:lineRule="auto"/>
        <w:ind w:left="713" w:firstLine="2"/>
        <w:jc w:val="both"/>
        <w:rPr>
          <w:rFonts w:ascii="David" w:hAnsi="David"/>
          <w:rtl/>
        </w:rPr>
      </w:pPr>
      <w:r>
        <w:rPr>
          <w:rFonts w:ascii="David" w:hAnsi="David"/>
          <w:rtl/>
        </w:rPr>
        <w:t>אין לפני כל ראיה או תימוכין לכך שבעיית קשב וריכוז של התובעת אכן קיימת ומעבר לכך שהיא מגיעה כדי הפיכתה לנכה זולת קביעתה של באת כוחה.  לא ברור איך בעיית קשב וריכוז, מטופלת, מהווה מסד להסברה על אי הגשת המסמכים במועד. בהקשר זה נקבע "...</w:t>
      </w:r>
      <w:r>
        <w:rPr>
          <w:rFonts w:ascii="David" w:hAnsi="David"/>
          <w:b/>
          <w:bCs/>
          <w:rtl/>
        </w:rPr>
        <w:t xml:space="preserve"> מציעה אני, שלא נלך בדרכו ולא נעשה עצמנו לחכמי הרפואה, אלא נישאר בתחום תפקידנו כחכמי המשפט ונשאיר את העיסוק בתורת הרפואה לבקיאים בה. סבוכה היא תורת הרפואה בכלל ותורת רפואת הנפש בפרט מכדי שהדיוטות יכניסו ראשיהם בה, אף אם ינסו לעשות זאת בעזרת ספרי רפואה ומילונים רפואיים למיניהם. אין לנו אלא להשאיר שאלה זו למומחים</w:t>
      </w:r>
      <w:r>
        <w:rPr>
          <w:rFonts w:ascii="David" w:hAnsi="David"/>
          <w:rtl/>
        </w:rPr>
        <w:t>..." (</w:t>
      </w:r>
      <w:r>
        <w:rPr>
          <w:rFonts w:ascii="David" w:hAnsi="David"/>
          <w:u w:val="single"/>
          <w:rtl/>
        </w:rPr>
        <w:t xml:space="preserve">ע"א 472/81 </w:t>
      </w:r>
      <w:r>
        <w:rPr>
          <w:rFonts w:ascii="David" w:hAnsi="David"/>
          <w:rtl/>
        </w:rPr>
        <w:t xml:space="preserve"> </w:t>
      </w:r>
      <w:r>
        <w:rPr>
          <w:rFonts w:ascii="David" w:hAnsi="David"/>
          <w:b/>
          <w:bCs/>
          <w:rtl/>
        </w:rPr>
        <w:t xml:space="preserve">קצין התגמולים </w:t>
      </w:r>
      <w:r>
        <w:rPr>
          <w:rFonts w:ascii="David" w:hAnsi="David"/>
          <w:rtl/>
        </w:rPr>
        <w:t xml:space="preserve">נ' </w:t>
      </w:r>
      <w:r>
        <w:rPr>
          <w:rFonts w:ascii="David" w:hAnsi="David"/>
          <w:b/>
          <w:bCs/>
          <w:rtl/>
        </w:rPr>
        <w:t xml:space="preserve">גבריאל פנחס אברג'ל </w:t>
      </w:r>
      <w:r>
        <w:rPr>
          <w:rFonts w:ascii="David" w:hAnsi="David"/>
          <w:rtl/>
        </w:rPr>
        <w:t xml:space="preserve"> פד לז(2) 785, 9.9.1983  (עמ' 795-796)).</w:t>
      </w:r>
    </w:p>
    <w:p w:rsidR="00564E81" w:rsidRDefault="00564E81" w:rsidP="00564E81">
      <w:pPr>
        <w:spacing w:line="360" w:lineRule="auto"/>
        <w:ind w:left="713" w:firstLine="2"/>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14.</w:t>
      </w:r>
      <w:r>
        <w:rPr>
          <w:rFonts w:ascii="David" w:hAnsi="David"/>
          <w:rtl/>
        </w:rPr>
        <w:tab/>
        <w:t xml:space="preserve">יודגש, המסמכים אותם מבקשת המבקשת לצרף עתה, היו בחזקתה ובידיעתה או אמורים היו להיות בידיעתה כבר מתחילת הדיון (כעולה מהבקשה עצמה, למשל, עניין הקבלה). אין בבקשה הסבר כלשהו מה טעם לא נקטה בפעולה  כדי לאתרה. המבקשת לא הציגה כל מעשה או פעולה שנעשו עובר להגשת התביעה לצורך בדיקת הדברים זולת טענתה הלאקונית על זיכרונה שבגד בה.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Pr>
      </w:pPr>
      <w:r>
        <w:rPr>
          <w:rFonts w:ascii="David" w:hAnsi="David"/>
          <w:rtl/>
        </w:rPr>
        <w:t>15.</w:t>
      </w:r>
      <w:r>
        <w:rPr>
          <w:rFonts w:ascii="David" w:hAnsi="David"/>
          <w:rtl/>
        </w:rPr>
        <w:tab/>
        <w:t>זאת, ועוד. לצורך קבלת הבקשה על בית המשפט להתרשם בדבר חשיבות המסמכים להליך. האם מדובר בראיה מרכזית האמורה להשפיע על ההליך. גם בעניין זה אין בבקשה הסבר לחשיבותם של  המסמכים לביסוס טענותיה של התובעת. ההסבר שניתן הוא הצורך ב"...</w:t>
      </w:r>
      <w:r>
        <w:rPr>
          <w:rFonts w:ascii="David" w:hAnsi="David"/>
          <w:b/>
          <w:bCs/>
          <w:rtl/>
        </w:rPr>
        <w:t>ראיה המוכיחה את ההתייעצות שלה עם עו"ד שבדק ב 2018 את ההסכם</w:t>
      </w:r>
      <w:r>
        <w:rPr>
          <w:rFonts w:ascii="David" w:hAnsi="David"/>
          <w:rtl/>
        </w:rPr>
        <w:t xml:space="preserve">".  מעבר לכך אין בבקשה דבר וחצי דבר בדבר חשיבות ההתייעצות למושא התביעה.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rtl/>
        </w:rPr>
        <w:t>כך, נבחנת חשיבות הראיה שהוספתה מבוקשת לצורך עשיית צדק וחשיפת האמת חרף המחדל של בעל הדין להגישה במועד (</w:t>
      </w:r>
      <w:r>
        <w:rPr>
          <w:rFonts w:ascii="David" w:hAnsi="David"/>
          <w:u w:val="single"/>
          <w:rtl/>
        </w:rPr>
        <w:t xml:space="preserve">ע"א 188/89 </w:t>
      </w:r>
      <w:r>
        <w:rPr>
          <w:rFonts w:ascii="David" w:hAnsi="David"/>
          <w:b/>
          <w:bCs/>
          <w:rtl/>
        </w:rPr>
        <w:t xml:space="preserve"> פיאד אחמד עזאיזה </w:t>
      </w:r>
      <w:r>
        <w:rPr>
          <w:rFonts w:ascii="David" w:hAnsi="David"/>
          <w:rtl/>
        </w:rPr>
        <w:t>נ'</w:t>
      </w:r>
      <w:r>
        <w:rPr>
          <w:rFonts w:ascii="David" w:hAnsi="David"/>
          <w:b/>
          <w:bCs/>
          <w:rtl/>
        </w:rPr>
        <w:t xml:space="preserve"> המועצה המקומית כפר דבוריה </w:t>
      </w:r>
      <w:r>
        <w:rPr>
          <w:rFonts w:ascii="David" w:hAnsi="David"/>
          <w:rtl/>
        </w:rPr>
        <w:t>פד מז (1) 661, (2.9.1993) עמ' 665).</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rtl/>
        </w:rPr>
        <w:t>עם זאת ראוי שתיבחן "...</w:t>
      </w:r>
      <w:r>
        <w:rPr>
          <w:rFonts w:ascii="David" w:hAnsi="David"/>
          <w:b/>
          <w:bCs/>
          <w:rtl/>
        </w:rPr>
        <w:t>מה השלכה תהא לכך על היריב מבחינת יכולתו להסביר או לסתור את הראיה הנוספת</w:t>
      </w:r>
      <w:r>
        <w:rPr>
          <w:rFonts w:ascii="David" w:hAnsi="David"/>
          <w:rtl/>
        </w:rPr>
        <w:t xml:space="preserve"> [...] </w:t>
      </w:r>
      <w:r>
        <w:rPr>
          <w:rFonts w:ascii="David" w:hAnsi="David"/>
          <w:b/>
          <w:bCs/>
          <w:rtl/>
        </w:rPr>
        <w:t xml:space="preserve">קל וחומר עם בעל דין, שאינו מביא כל הסבר לכך וצידוק למחדל בעל דין, שאינו מביא בנדון ראיה משכנעת על שום מה לא גילה את הראיה </w:t>
      </w:r>
      <w:r>
        <w:rPr>
          <w:rFonts w:ascii="David" w:hAnsi="David"/>
          <w:rtl/>
        </w:rPr>
        <w:t xml:space="preserve">[...] </w:t>
      </w:r>
      <w:r>
        <w:rPr>
          <w:rFonts w:ascii="David" w:hAnsi="David"/>
          <w:b/>
          <w:bCs/>
          <w:rtl/>
        </w:rPr>
        <w:t>יש להחמיר</w:t>
      </w:r>
      <w:r>
        <w:rPr>
          <w:rFonts w:ascii="David" w:hAnsi="David"/>
          <w:rtl/>
        </w:rPr>
        <w:t xml:space="preserve"> [...] </w:t>
      </w:r>
      <w:r>
        <w:rPr>
          <w:rFonts w:ascii="David" w:hAnsi="David"/>
          <w:b/>
          <w:bCs/>
          <w:rtl/>
        </w:rPr>
        <w:t>קל וחומר עם בעל דין שאינו מביא כל הסבר  לכך וצידוק למחדל כזה</w:t>
      </w:r>
      <w:r>
        <w:rPr>
          <w:rFonts w:ascii="David" w:hAnsi="David"/>
          <w:rtl/>
        </w:rPr>
        <w:t>" (</w:t>
      </w:r>
      <w:r>
        <w:rPr>
          <w:rFonts w:ascii="David" w:hAnsi="David"/>
          <w:u w:val="single"/>
          <w:rtl/>
        </w:rPr>
        <w:t>ע"א 391/80</w:t>
      </w:r>
      <w:r>
        <w:rPr>
          <w:rFonts w:ascii="David" w:hAnsi="David"/>
          <w:rtl/>
        </w:rPr>
        <w:t xml:space="preserve">   </w:t>
      </w:r>
      <w:r>
        <w:rPr>
          <w:rFonts w:ascii="David" w:hAnsi="David"/>
          <w:b/>
          <w:bCs/>
          <w:rtl/>
        </w:rPr>
        <w:t>מירה ומיכאל לסרסון</w:t>
      </w:r>
      <w:r>
        <w:rPr>
          <w:rFonts w:ascii="David" w:hAnsi="David"/>
          <w:rtl/>
        </w:rPr>
        <w:t xml:space="preserve"> נ' </w:t>
      </w:r>
      <w:r>
        <w:rPr>
          <w:rFonts w:ascii="David" w:hAnsi="David"/>
          <w:b/>
          <w:bCs/>
          <w:rtl/>
        </w:rPr>
        <w:t>שיכון עובדים בע"מ</w:t>
      </w:r>
      <w:r>
        <w:rPr>
          <w:rFonts w:ascii="David" w:hAnsi="David"/>
          <w:rtl/>
        </w:rPr>
        <w:t xml:space="preserve"> פ"ד לה(2) 237,( 11.2.1984), עמ' 244). </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14" w:hanging="630"/>
        <w:jc w:val="both"/>
        <w:rPr>
          <w:rFonts w:ascii="David" w:hAnsi="David"/>
          <w:rtl/>
        </w:rPr>
      </w:pPr>
      <w:r>
        <w:rPr>
          <w:rFonts w:ascii="David" w:hAnsi="David"/>
          <w:rtl/>
        </w:rPr>
        <w:t>16.</w:t>
      </w:r>
      <w:r>
        <w:rPr>
          <w:rFonts w:ascii="David" w:hAnsi="David"/>
          <w:rtl/>
        </w:rPr>
        <w:tab/>
        <w:t xml:space="preserve">סעיף 8 (א) לחוק בית המשפט לענייני משפחה תשנ"ה-1995 קובע  </w:t>
      </w:r>
      <w:r>
        <w:rPr>
          <w:rFonts w:ascii="David" w:hAnsi="David"/>
          <w:color w:val="000000"/>
          <w:shd w:val="clear" w:color="auto" w:fill="FFFFFF"/>
          <w:rtl/>
        </w:rPr>
        <w:t>"</w:t>
      </w:r>
      <w:r>
        <w:rPr>
          <w:rFonts w:ascii="David" w:hAnsi="David"/>
          <w:b/>
          <w:bCs/>
          <w:color w:val="000000"/>
          <w:shd w:val="clear" w:color="auto" w:fill="FFFFFF"/>
          <w:rtl/>
        </w:rPr>
        <w:t>כל ענין של דיני ראיות וסדרי דין, שאין עליו הוראה אחרת, לפי חוק זה, ינהג בית המשפט בדרך הנראית לו הטובה ביותר לעשיית משפט צדק; אין בהוראה זו כדי לגרוע מכללי חסיונות עדים או כללי ראיות חסויות</w:t>
      </w:r>
      <w:r>
        <w:rPr>
          <w:rFonts w:ascii="David" w:hAnsi="David"/>
          <w:color w:val="000000"/>
          <w:shd w:val="clear" w:color="auto" w:fill="FFFFFF"/>
          <w:rtl/>
        </w:rPr>
        <w:t>".</w:t>
      </w:r>
    </w:p>
    <w:p w:rsidR="00564E81" w:rsidRDefault="00564E81" w:rsidP="00564E81">
      <w:pPr>
        <w:spacing w:line="360" w:lineRule="auto"/>
        <w:ind w:left="714" w:hanging="630"/>
        <w:jc w:val="both"/>
        <w:rPr>
          <w:rFonts w:ascii="David" w:hAnsi="David"/>
          <w:rtl/>
        </w:rPr>
      </w:pPr>
    </w:p>
    <w:p w:rsidR="00564E81" w:rsidRDefault="00564E81" w:rsidP="00564E81">
      <w:pPr>
        <w:spacing w:line="360" w:lineRule="auto"/>
        <w:ind w:left="714" w:hanging="630"/>
        <w:jc w:val="both"/>
        <w:rPr>
          <w:rFonts w:ascii="David" w:hAnsi="David"/>
          <w:rtl/>
        </w:rPr>
      </w:pPr>
      <w:r>
        <w:rPr>
          <w:rFonts w:ascii="David" w:hAnsi="David"/>
          <w:rtl/>
        </w:rPr>
        <w:t>17.</w:t>
      </w:r>
      <w:r>
        <w:rPr>
          <w:rFonts w:ascii="David" w:hAnsi="David"/>
          <w:rtl/>
        </w:rPr>
        <w:tab/>
        <w:t xml:space="preserve">על אף הכשל שבטיעוני המבקשת מבלי לקבוע מסמרות, או קביעה אפריורי כיצד תשפיע אותה ראיה על תוצאת ההליך, יש למסמכים אלו משקל לבירור המחלוקת שלפני עד כדי השגת הכשל שבהתנהלות המבקשת.  </w:t>
      </w:r>
    </w:p>
    <w:p w:rsidR="00564E81" w:rsidRDefault="00564E81" w:rsidP="00564E81">
      <w:pPr>
        <w:spacing w:line="360" w:lineRule="auto"/>
        <w:ind w:left="714" w:hanging="63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18.</w:t>
      </w:r>
      <w:r>
        <w:rPr>
          <w:rFonts w:ascii="David" w:hAnsi="David"/>
          <w:rtl/>
        </w:rPr>
        <w:tab/>
        <w:t xml:space="preserve">המבקשת עתרה גם לזימונו של עו"ד מזור לעדות. אין כל הסבר בדבר הצורך בעדותו. מה תרומתו לדיון? נושא זה לא הובא בבקשה. אין הסבר האם הצורך בעדותו היא לתמוך בטיעוניה של התובעת? כיצד? אם לכך נועד זימונו ספק אם יש מקום לכך שכן על פי תצהירו ידיעתו הסתיימה עם מתן חוות דעתו בכתב. עם זאת, קבלת הבקשה לצירוף המסמכים המוגשים מכוח תצהירו של עו"ד מזור מקימה לנתבע זכות לחקור את עו"ד מזור כנותן התצהיר. מטעם זה יהיה ראוי  לאפשר זימונו של עו"ד מזור לעדות בחקירה נגדית של ב"כ הנתבע. </w:t>
      </w:r>
    </w:p>
    <w:p w:rsidR="00564E81" w:rsidRDefault="00564E81" w:rsidP="00564E81">
      <w:pPr>
        <w:spacing w:line="360" w:lineRule="auto"/>
        <w:ind w:left="720" w:hanging="720"/>
        <w:jc w:val="both"/>
        <w:rPr>
          <w:rFonts w:ascii="David" w:hAnsi="David"/>
          <w:rtl/>
        </w:rPr>
      </w:pPr>
      <w:r>
        <w:rPr>
          <w:rFonts w:ascii="David" w:hAnsi="David"/>
          <w:rtl/>
        </w:rPr>
        <w:t>19.</w:t>
      </w:r>
      <w:r>
        <w:rPr>
          <w:rFonts w:ascii="David" w:hAnsi="David"/>
          <w:rtl/>
        </w:rPr>
        <w:tab/>
        <w:t xml:space="preserve">בנסיבות אלו שלנתבע  תהא הזדמנות לחקור את עו"ד מזור לעניין המסמכים האמורים מתקהה הפגיעה בנתבע לאור  החלטה על צירוף המסמכים.  </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20.</w:t>
      </w:r>
      <w:r>
        <w:rPr>
          <w:rFonts w:ascii="David" w:hAnsi="David"/>
          <w:rtl/>
        </w:rPr>
        <w:tab/>
        <w:t>לאחר  שערכתי מעין "...</w:t>
      </w:r>
      <w:r>
        <w:rPr>
          <w:rFonts w:ascii="David" w:hAnsi="David"/>
          <w:b/>
          <w:bCs/>
          <w:rtl/>
        </w:rPr>
        <w:t>"מאזן נוחות"</w:t>
      </w:r>
      <w:r>
        <w:rPr>
          <w:rFonts w:ascii="David" w:hAnsi="David"/>
          <w:rtl/>
        </w:rPr>
        <w:t>"  והצבתי "...</w:t>
      </w:r>
      <w:r>
        <w:rPr>
          <w:rFonts w:ascii="David" w:hAnsi="David"/>
          <w:b/>
          <w:bCs/>
          <w:rtl/>
        </w:rPr>
        <w:t>זה מול זה את הנזק הדיוני שייגרם לצד</w:t>
      </w:r>
      <w:r>
        <w:rPr>
          <w:rFonts w:ascii="David" w:hAnsi="David"/>
          <w:rtl/>
        </w:rPr>
        <w:t xml:space="preserve"> </w:t>
      </w:r>
      <w:r>
        <w:rPr>
          <w:rFonts w:ascii="David" w:hAnsi="David"/>
          <w:b/>
          <w:bCs/>
          <w:rtl/>
        </w:rPr>
        <w:t>המתנגד להגשת הראיה החדשה בשלב כה מתקדם, אל מול הנזק שאמור להיגרם למבקש אם תדחה הבקשה</w:t>
      </w:r>
      <w:r>
        <w:rPr>
          <w:rFonts w:ascii="David" w:hAnsi="David"/>
          <w:rtl/>
        </w:rPr>
        <w:t xml:space="preserve"> " (</w:t>
      </w:r>
      <w:r>
        <w:rPr>
          <w:rFonts w:ascii="David" w:hAnsi="David"/>
          <w:u w:val="single"/>
          <w:rtl/>
        </w:rPr>
        <w:t>רע"א 2948/15</w:t>
      </w:r>
      <w:r>
        <w:rPr>
          <w:rFonts w:ascii="David" w:hAnsi="David"/>
          <w:rtl/>
        </w:rPr>
        <w:t xml:space="preserve">  </w:t>
      </w:r>
      <w:r>
        <w:rPr>
          <w:rFonts w:ascii="David" w:hAnsi="David"/>
          <w:b/>
          <w:bCs/>
          <w:rtl/>
        </w:rPr>
        <w:t>אחמד עבד</w:t>
      </w:r>
      <w:r>
        <w:rPr>
          <w:rFonts w:ascii="David" w:hAnsi="David"/>
          <w:rtl/>
        </w:rPr>
        <w:t xml:space="preserve"> </w:t>
      </w:r>
      <w:r>
        <w:rPr>
          <w:rFonts w:ascii="David" w:hAnsi="David"/>
          <w:b/>
          <w:bCs/>
          <w:rtl/>
        </w:rPr>
        <w:t xml:space="preserve">אל חוסין </w:t>
      </w:r>
      <w:r>
        <w:rPr>
          <w:rFonts w:ascii="David" w:hAnsi="David"/>
          <w:rtl/>
        </w:rPr>
        <w:t xml:space="preserve">נ' </w:t>
      </w:r>
      <w:r>
        <w:rPr>
          <w:rFonts w:ascii="David" w:hAnsi="David"/>
          <w:b/>
          <w:bCs/>
          <w:rtl/>
        </w:rPr>
        <w:t xml:space="preserve">רשות הפיתוח ע"י רשות מקרקעי ישראל </w:t>
      </w:r>
      <w:r>
        <w:rPr>
          <w:rFonts w:ascii="David" w:hAnsi="David"/>
          <w:rtl/>
        </w:rPr>
        <w:t>(1.7.2015) ס' 14), נחה דעתי שיש לאפשר הגשת המסמכים וזימונו של עו"ד מזור לחקירה. מובהר שחקירתו של עו"ד מזור תתמקד  בעובדות העולות מתצהיריו ולא יתאפשר לחקור אותו על מהות ומשמעות ייעוצו לתובעת כעולה מהמסמכים שצורפו לתצהירו.</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21.</w:t>
      </w:r>
      <w:r>
        <w:rPr>
          <w:rFonts w:ascii="David" w:hAnsi="David"/>
          <w:rtl/>
        </w:rPr>
        <w:tab/>
        <w:t>מבלי לגרוע בכך, וחרף החלטתי ברי שהגשת הבקשה בשלב זה ובדרך בה הוגשה, חורגת מהתנהגות סבירה של בעל דין. התוצאה המתבקשת היא שחרף קבלת הבקשה יש לחייב את המבקשת בהוצאות לטובת המשיב.</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jc w:val="both"/>
        <w:rPr>
          <w:rFonts w:ascii="David" w:hAnsi="David"/>
          <w:rtl/>
        </w:rPr>
      </w:pPr>
      <w:r>
        <w:rPr>
          <w:rFonts w:ascii="David" w:hAnsi="David"/>
          <w:rtl/>
        </w:rPr>
        <w:t>המבקשת תישא בהוצאות המשיב בסך 3,000 ₪.</w:t>
      </w:r>
    </w:p>
    <w:p w:rsidR="00564E81" w:rsidRDefault="00564E81" w:rsidP="00564E81">
      <w:pPr>
        <w:spacing w:line="360" w:lineRule="auto"/>
        <w:ind w:left="720"/>
        <w:jc w:val="both"/>
        <w:rPr>
          <w:rFonts w:ascii="David" w:hAnsi="David"/>
          <w:rtl/>
        </w:rPr>
      </w:pPr>
    </w:p>
    <w:p w:rsidR="00564E81" w:rsidRDefault="00564E81" w:rsidP="00564E81">
      <w:pPr>
        <w:spacing w:line="360" w:lineRule="auto"/>
        <w:ind w:left="714" w:hanging="630"/>
        <w:jc w:val="both"/>
        <w:rPr>
          <w:rFonts w:ascii="David" w:hAnsi="David"/>
          <w:rtl/>
        </w:rPr>
      </w:pPr>
      <w:r>
        <w:rPr>
          <w:rFonts w:ascii="David" w:hAnsi="David"/>
          <w:rtl/>
        </w:rPr>
        <w:t>22.</w:t>
      </w:r>
      <w:r>
        <w:rPr>
          <w:rFonts w:ascii="David" w:hAnsi="David"/>
          <w:rtl/>
        </w:rPr>
        <w:tab/>
        <w:t xml:space="preserve">עו"ד מזור יתייצב לדיון ההוכחות הקבוע וזימונו לדיון הקבוע וכל דיון נדחה תחתיו באמצעות ב"כ המבקשת. </w:t>
      </w:r>
    </w:p>
    <w:p w:rsidR="00564E81" w:rsidRDefault="00564E81" w:rsidP="00564E81">
      <w:pPr>
        <w:spacing w:line="360" w:lineRule="auto"/>
        <w:ind w:left="714" w:hanging="63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23.</w:t>
      </w:r>
      <w:r>
        <w:rPr>
          <w:rFonts w:ascii="David" w:hAnsi="David"/>
          <w:rtl/>
        </w:rPr>
        <w:tab/>
        <w:t>תואיל המזכירות לשלוח ההחלטה לצדדים ולסגור את הבקשה.</w:t>
      </w:r>
    </w:p>
    <w:p w:rsidR="00564E81" w:rsidRDefault="00564E81" w:rsidP="00564E81">
      <w:pPr>
        <w:spacing w:line="360" w:lineRule="auto"/>
        <w:ind w:left="720" w:hanging="720"/>
        <w:jc w:val="both"/>
        <w:rPr>
          <w:rFonts w:ascii="David" w:hAnsi="David"/>
          <w:rtl/>
        </w:rPr>
      </w:pPr>
    </w:p>
    <w:p w:rsidR="00564E81" w:rsidRDefault="00564E81" w:rsidP="00564E81">
      <w:pPr>
        <w:spacing w:line="360" w:lineRule="auto"/>
        <w:ind w:left="720" w:hanging="720"/>
        <w:jc w:val="both"/>
        <w:rPr>
          <w:rFonts w:ascii="David" w:hAnsi="David"/>
          <w:rtl/>
        </w:rPr>
      </w:pPr>
      <w:r>
        <w:rPr>
          <w:rFonts w:ascii="David" w:hAnsi="David"/>
          <w:rtl/>
        </w:rPr>
        <w:t>24.</w:t>
      </w:r>
      <w:r>
        <w:rPr>
          <w:rFonts w:ascii="David" w:hAnsi="David"/>
          <w:rtl/>
        </w:rPr>
        <w:tab/>
        <w:t>מתיר פרסום ההחלטה בהשמטת פרטים מזהים.</w:t>
      </w:r>
    </w:p>
    <w:p w:rsidR="00564E81" w:rsidRDefault="00564E81" w:rsidP="00564E81">
      <w:pPr>
        <w:spacing w:line="360" w:lineRule="auto"/>
        <w:jc w:val="both"/>
        <w:rPr>
          <w:rFonts w:ascii="Arial" w:hAnsi="Arial"/>
          <w:noProof w:val="0"/>
          <w:rtl/>
        </w:rPr>
      </w:pPr>
    </w:p>
    <w:p w:rsidR="00564E81" w:rsidRDefault="00564E81" w:rsidP="00564E81">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ד' תשרי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אוקטובר 2024</w:t>
          </w:r>
        </w:sdtContent>
      </w:sdt>
      <w:r>
        <w:rPr>
          <w:rFonts w:ascii="Arial" w:hAnsi="Arial"/>
          <w:noProof w:val="0"/>
          <w:rtl/>
        </w:rPr>
        <w:t>, בהעדר הצדדים.</w:t>
      </w:r>
    </w:p>
    <w:p w:rsidR="00564E81" w:rsidRDefault="00B86C72" w:rsidP="00564E81">
      <w:pPr>
        <w:tabs>
          <w:tab w:val="left" w:pos="2553"/>
        </w:tabs>
        <w:ind w:left="5040"/>
        <w:rPr>
          <w:rtl/>
        </w:rPr>
      </w:pPr>
      <w:sdt>
        <w:sdtPr>
          <w:rPr>
            <w:rtl/>
          </w:rPr>
          <w:alias w:val="2045"/>
          <w:tag w:val="2045"/>
          <w:id w:val="740689340"/>
          <w:placeholder>
            <w:docPart w:val="5EF7CCCF21FE42D4B14487571D41BEEC"/>
          </w:placeholder>
          <w:showingPlcHdr/>
          <w:text w:multiLine="1"/>
        </w:sdtPr>
        <w:sdtEndPr/>
        <w:sdtContent>
          <w:r w:rsidR="00564E81">
            <w:rPr>
              <w:rtl/>
            </w:rPr>
            <w:t xml:space="preserve">     </w:t>
          </w:r>
        </w:sdtContent>
      </w:sdt>
    </w:p>
    <w:p w:rsidR="00564E81" w:rsidRDefault="00564E81" w:rsidP="00564E81">
      <w:pPr>
        <w:tabs>
          <w:tab w:val="left" w:pos="2553"/>
        </w:tabs>
        <w:rPr>
          <w:rtl/>
        </w:rPr>
      </w:pPr>
      <w:r>
        <w:rPr>
          <w:rtl/>
        </w:rPr>
        <w:lastRenderedPageBreak/>
        <w:tab/>
      </w:r>
      <w:r>
        <w:rPr>
          <w:rtl/>
        </w:rPr>
        <w:tab/>
      </w:r>
      <w:r>
        <w:rPr>
          <w:rtl/>
        </w:rPr>
        <w:tab/>
      </w:r>
      <w:r>
        <w:rPr>
          <w:rtl/>
        </w:rPr>
        <w:tab/>
        <w:t xml:space="preserve">        </w:t>
      </w:r>
      <w:sdt>
        <w:sdtPr>
          <w:rPr>
            <w:rtl/>
          </w:rPr>
          <w:alias w:val="MergeField"/>
          <w:tag w:val="1237"/>
          <w:id w:val="-2117664276"/>
        </w:sdtPr>
        <w:sdtEndPr/>
        <w:sdtContent>
          <w:r>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564E81" w:rsidRDefault="00564E81" w:rsidP="00564E81">
      <w:pPr>
        <w:tabs>
          <w:tab w:val="left" w:pos="2553"/>
        </w:tabs>
        <w:rPr>
          <w:rFonts w:ascii="Arial" w:hAnsi="Arial"/>
          <w:noProof w:val="0"/>
        </w:rPr>
      </w:pPr>
    </w:p>
    <w:p w:rsidR="00564E81" w:rsidRDefault="00564E81"/>
    <w:sectPr w:rsidR="00564E81"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E81"/>
    <w:rsid w:val="00564E81"/>
    <w:rsid w:val="00912B11"/>
    <w:rsid w:val="00B86C72"/>
    <w:rsid w:val="00D52136"/>
    <w:rsid w:val="00D53762"/>
    <w:rsid w:val="00DD24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BB315-1733-426A-A79F-DDF1A3E0C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E8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564E81"/>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564E81"/>
    <w:pPr>
      <w:tabs>
        <w:tab w:val="center" w:pos="4153"/>
        <w:tab w:val="right" w:pos="8306"/>
      </w:tabs>
    </w:pPr>
  </w:style>
  <w:style w:type="character" w:customStyle="1" w:styleId="a6">
    <w:name w:val="כותרת עליונה תו"/>
    <w:basedOn w:val="a0"/>
    <w:link w:val="a5"/>
    <w:semiHidden/>
    <w:rsid w:val="00564E81"/>
    <w:rPr>
      <w:rFonts w:ascii="Times New Roman" w:eastAsia="Times New Roman" w:hAnsi="Times New Roman" w:cs="David"/>
      <w:noProof/>
      <w:sz w:val="24"/>
      <w:szCs w:val="24"/>
    </w:rPr>
  </w:style>
  <w:style w:type="paragraph" w:styleId="NormalWeb">
    <w:name w:val="Normal (Web)"/>
    <w:basedOn w:val="a"/>
    <w:uiPriority w:val="99"/>
    <w:semiHidden/>
    <w:unhideWhenUsed/>
    <w:rsid w:val="00564E81"/>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D53762"/>
    <w:rPr>
      <w:rFonts w:ascii="Tahoma" w:hAnsi="Tahoma" w:cs="Tahoma"/>
      <w:sz w:val="18"/>
      <w:szCs w:val="18"/>
    </w:rPr>
  </w:style>
  <w:style w:type="character" w:customStyle="1" w:styleId="a8">
    <w:name w:val="טקסט בלונים תו"/>
    <w:basedOn w:val="a0"/>
    <w:link w:val="a7"/>
    <w:uiPriority w:val="99"/>
    <w:semiHidden/>
    <w:rsid w:val="00D53762"/>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570042">
      <w:bodyDiv w:val="1"/>
      <w:marLeft w:val="0"/>
      <w:marRight w:val="0"/>
      <w:marTop w:val="0"/>
      <w:marBottom w:val="0"/>
      <w:divBdr>
        <w:top w:val="none" w:sz="0" w:space="0" w:color="auto"/>
        <w:left w:val="none" w:sz="0" w:space="0" w:color="auto"/>
        <w:bottom w:val="none" w:sz="0" w:space="0" w:color="auto"/>
        <w:right w:val="none" w:sz="0" w:space="0" w:color="auto"/>
      </w:divBdr>
    </w:div>
    <w:div w:id="76219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EF7CCCF21FE42D4B14487571D41BEEC"/>
        <w:category>
          <w:name w:val="כללי"/>
          <w:gallery w:val="placeholder"/>
        </w:category>
        <w:types>
          <w:type w:val="bbPlcHdr"/>
        </w:types>
        <w:behaviors>
          <w:behavior w:val="content"/>
        </w:behaviors>
        <w:guid w:val="{FD33B697-5F05-47E5-907B-C5FCE146FC7A}"/>
      </w:docPartPr>
      <w:docPartBody>
        <w:p w:rsidR="004B12EA" w:rsidRDefault="00BE16AF" w:rsidP="00BE16AF">
          <w:pPr>
            <w:pStyle w:val="5EF7CCCF21FE42D4B14487571D41BEEC"/>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6AF"/>
    <w:rsid w:val="004B12EA"/>
    <w:rsid w:val="004E2784"/>
    <w:rsid w:val="00BE16AF"/>
    <w:rsid w:val="00E835B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EF7CCCF21FE42D4B14487571D41BEEC">
    <w:name w:val="5EF7CCCF21FE42D4B14487571D41BEEC"/>
    <w:rsid w:val="00BE16A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2187</Words>
  <Characters>10937</Characters>
  <Application>Microsoft Office Word</Application>
  <DocSecurity>0</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2024-10-30T12:47:00Z</cp:lastPrinted>
  <dcterms:created xsi:type="dcterms:W3CDTF">2024-10-31T07:31:00Z</dcterms:created>
  <dcterms:modified xsi:type="dcterms:W3CDTF">2024-10-31T07:31:00Z</dcterms:modified>
</cp:coreProperties>
</file>